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6DDB5" w14:textId="431F4A72" w:rsidR="004D13B0" w:rsidRPr="00987676" w:rsidRDefault="004D13B0" w:rsidP="009D7D9B">
      <w:p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На основу Решења Привредног суда у Београду, Посл. бр. </w:t>
      </w:r>
      <w:r w:rsidR="00545155" w:rsidRPr="00987676">
        <w:rPr>
          <w:rFonts w:ascii="Times New Roman" w:hAnsi="Times New Roman"/>
          <w:sz w:val="20"/>
          <w:lang w:val="sr-Cyrl-RS"/>
        </w:rPr>
        <w:t>6</w:t>
      </w:r>
      <w:r w:rsidRPr="00987676">
        <w:rPr>
          <w:rFonts w:ascii="Times New Roman" w:hAnsi="Times New Roman"/>
          <w:sz w:val="20"/>
          <w:lang w:val="sr-Cyrl-RS"/>
        </w:rPr>
        <w:t xml:space="preserve"> Ст </w:t>
      </w:r>
      <w:r w:rsidR="00545155" w:rsidRPr="00987676">
        <w:rPr>
          <w:rFonts w:ascii="Times New Roman" w:hAnsi="Times New Roman"/>
          <w:sz w:val="20"/>
          <w:lang w:val="sr-Cyrl-RS"/>
        </w:rPr>
        <w:t>2444</w:t>
      </w:r>
      <w:r w:rsidRPr="00987676">
        <w:rPr>
          <w:rFonts w:ascii="Times New Roman" w:hAnsi="Times New Roman"/>
          <w:sz w:val="20"/>
          <w:lang w:val="sr-Cyrl-RS"/>
        </w:rPr>
        <w:t>/201</w:t>
      </w:r>
      <w:r w:rsidR="00545155" w:rsidRPr="00987676">
        <w:rPr>
          <w:rFonts w:ascii="Times New Roman" w:hAnsi="Times New Roman"/>
          <w:sz w:val="20"/>
          <w:lang w:val="sr-Cyrl-RS"/>
        </w:rPr>
        <w:t>0</w:t>
      </w:r>
      <w:r w:rsidRPr="00987676">
        <w:rPr>
          <w:rFonts w:ascii="Times New Roman" w:hAnsi="Times New Roman"/>
          <w:sz w:val="20"/>
          <w:lang w:val="sr-Cyrl-RS"/>
        </w:rPr>
        <w:t xml:space="preserve"> од </w:t>
      </w:r>
      <w:r w:rsidR="00545155" w:rsidRPr="00987676">
        <w:rPr>
          <w:rFonts w:ascii="Times New Roman" w:hAnsi="Times New Roman"/>
          <w:sz w:val="20"/>
          <w:lang w:val="sr-Cyrl-RS"/>
        </w:rPr>
        <w:t>10</w:t>
      </w:r>
      <w:r w:rsidRPr="00987676">
        <w:rPr>
          <w:rFonts w:ascii="Times New Roman" w:hAnsi="Times New Roman"/>
          <w:sz w:val="20"/>
          <w:lang w:val="sr-Cyrl-RS"/>
        </w:rPr>
        <w:t>.</w:t>
      </w:r>
      <w:r w:rsidR="00545155" w:rsidRPr="00987676">
        <w:rPr>
          <w:rFonts w:ascii="Times New Roman" w:hAnsi="Times New Roman"/>
          <w:sz w:val="20"/>
          <w:lang w:val="sr-Cyrl-RS"/>
        </w:rPr>
        <w:t>11.</w:t>
      </w:r>
      <w:r w:rsidRPr="00987676">
        <w:rPr>
          <w:rFonts w:ascii="Times New Roman" w:hAnsi="Times New Roman"/>
          <w:sz w:val="20"/>
          <w:lang w:val="sr-Cyrl-RS"/>
        </w:rPr>
        <w:t>20</w:t>
      </w:r>
      <w:r w:rsidR="00545155" w:rsidRPr="00987676">
        <w:rPr>
          <w:rFonts w:ascii="Times New Roman" w:hAnsi="Times New Roman"/>
          <w:sz w:val="20"/>
          <w:lang w:val="sr-Cyrl-RS"/>
        </w:rPr>
        <w:t>10</w:t>
      </w:r>
      <w:r w:rsidRPr="00987676">
        <w:rPr>
          <w:rFonts w:ascii="Times New Roman" w:hAnsi="Times New Roman"/>
          <w:sz w:val="20"/>
          <w:lang w:val="sr-Cyrl-RS"/>
        </w:rPr>
        <w:t>. године, а у складу са члановима 131,132. и 133. Закона о стечају („Сл. гласник РС“ бр. 104/09) и Националним стандардом бр. 5 - Национални стандард о начину и поступку уновчења имовине стечајног дужника („Сл. гласник РС“ бр. 13/10), стечајни управник стечајног дужника,</w:t>
      </w:r>
    </w:p>
    <w:p w14:paraId="0270BEC8" w14:textId="77777777" w:rsidR="004D13B0" w:rsidRPr="00987676" w:rsidRDefault="004D13B0" w:rsidP="009D7D9B">
      <w:pPr>
        <w:jc w:val="both"/>
        <w:rPr>
          <w:rFonts w:ascii="Times New Roman" w:hAnsi="Times New Roman"/>
          <w:sz w:val="20"/>
          <w:lang w:val="sr-Cyrl-RS"/>
        </w:rPr>
      </w:pPr>
    </w:p>
    <w:p w14:paraId="4441DB7E" w14:textId="77777777" w:rsidR="00175D37" w:rsidRPr="00987676" w:rsidRDefault="00175D37" w:rsidP="009D7D9B">
      <w:pPr>
        <w:ind w:firstLine="720"/>
        <w:jc w:val="center"/>
        <w:rPr>
          <w:rFonts w:ascii="Times New Roman" w:hAnsi="Times New Roman"/>
          <w:sz w:val="20"/>
          <w:lang w:val="sr-Cyrl-RS"/>
        </w:rPr>
      </w:pPr>
    </w:p>
    <w:p w14:paraId="2D8E39C1" w14:textId="14310FF0" w:rsidR="00A2404F" w:rsidRPr="00987676" w:rsidRDefault="00545155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>Компанија БК доо</w:t>
      </w:r>
      <w:r w:rsidR="00A2404F" w:rsidRPr="00987676">
        <w:rPr>
          <w:rFonts w:ascii="Times New Roman" w:hAnsi="Times New Roman"/>
          <w:b/>
          <w:sz w:val="20"/>
          <w:lang w:val="sr-Cyrl-RS"/>
        </w:rPr>
        <w:t xml:space="preserve"> Београд - у стечају</w:t>
      </w:r>
    </w:p>
    <w:p w14:paraId="77E2F9BE" w14:textId="07A89825" w:rsidR="00175D37" w:rsidRPr="00987676" w:rsidRDefault="00A2404F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>ул</w:t>
      </w:r>
      <w:r w:rsidR="00610ADE" w:rsidRPr="00987676">
        <w:rPr>
          <w:rFonts w:ascii="Times New Roman" w:hAnsi="Times New Roman"/>
          <w:b/>
          <w:sz w:val="20"/>
          <w:lang w:val="sr-Cyrl-RS"/>
        </w:rPr>
        <w:t>.</w:t>
      </w:r>
      <w:r w:rsidR="001F27F7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545155" w:rsidRPr="00987676">
        <w:rPr>
          <w:rFonts w:ascii="Times New Roman" w:hAnsi="Times New Roman"/>
          <w:b/>
          <w:sz w:val="20"/>
          <w:lang w:val="sr-Cyrl-RS"/>
        </w:rPr>
        <w:t>Јеврејска бр. 24</w:t>
      </w:r>
      <w:r w:rsidR="00610ADE" w:rsidRPr="00987676">
        <w:rPr>
          <w:rFonts w:ascii="Times New Roman" w:hAnsi="Times New Roman"/>
          <w:b/>
          <w:sz w:val="20"/>
          <w:lang w:val="sr-Cyrl-RS"/>
        </w:rPr>
        <w:t>, Београд</w:t>
      </w:r>
    </w:p>
    <w:p w14:paraId="5993DB0B" w14:textId="77777777" w:rsidR="00175D37" w:rsidRPr="00987676" w:rsidRDefault="00175D37" w:rsidP="009D7D9B">
      <w:pPr>
        <w:jc w:val="center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>ОГЛАШАВА</w:t>
      </w:r>
    </w:p>
    <w:p w14:paraId="7ABA6645" w14:textId="632DB112" w:rsidR="0078072E" w:rsidRPr="00987676" w:rsidRDefault="00267478" w:rsidP="007C0F65">
      <w:pPr>
        <w:jc w:val="center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продају </w:t>
      </w:r>
      <w:r w:rsidR="0027115E" w:rsidRPr="00987676">
        <w:rPr>
          <w:rFonts w:ascii="Times New Roman" w:hAnsi="Times New Roman"/>
          <w:b/>
          <w:sz w:val="20"/>
          <w:lang w:val="sr-Cyrl-RS"/>
        </w:rPr>
        <w:t>имовине</w:t>
      </w:r>
      <w:r w:rsidR="008A1A85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FA19A0" w:rsidRPr="00987676">
        <w:rPr>
          <w:rFonts w:ascii="Times New Roman" w:hAnsi="Times New Roman"/>
          <w:b/>
          <w:sz w:val="20"/>
          <w:lang w:val="sr-Cyrl-RS"/>
        </w:rPr>
        <w:t xml:space="preserve">у </w:t>
      </w:r>
      <w:r w:rsidR="00615247" w:rsidRPr="00987676">
        <w:rPr>
          <w:rFonts w:ascii="Times New Roman" w:hAnsi="Times New Roman"/>
          <w:b/>
          <w:sz w:val="20"/>
          <w:lang w:val="sr-Cyrl-RS"/>
        </w:rPr>
        <w:t>власништву</w:t>
      </w:r>
      <w:r w:rsidR="00610ADE" w:rsidRPr="00987676">
        <w:rPr>
          <w:rFonts w:ascii="Times New Roman" w:hAnsi="Times New Roman"/>
          <w:b/>
          <w:sz w:val="20"/>
          <w:lang w:val="sr-Cyrl-RS"/>
        </w:rPr>
        <w:t xml:space="preserve"> стечајн</w:t>
      </w:r>
      <w:r w:rsidR="00545155" w:rsidRPr="00987676">
        <w:rPr>
          <w:rFonts w:ascii="Times New Roman" w:hAnsi="Times New Roman"/>
          <w:b/>
          <w:sz w:val="20"/>
          <w:lang w:val="sr-Cyrl-RS"/>
        </w:rPr>
        <w:t>ог дужника</w:t>
      </w:r>
      <w:r w:rsidR="007C0F65" w:rsidRPr="00987676">
        <w:rPr>
          <w:rFonts w:ascii="Times New Roman" w:hAnsi="Times New Roman"/>
          <w:b/>
          <w:sz w:val="20"/>
          <w:lang w:val="sr-Latn-RS"/>
        </w:rPr>
        <w:t xml:space="preserve"> </w:t>
      </w:r>
      <w:r w:rsidR="00175D37" w:rsidRPr="00987676">
        <w:rPr>
          <w:rFonts w:ascii="Times New Roman" w:hAnsi="Times New Roman"/>
          <w:b/>
          <w:sz w:val="20"/>
          <w:lang w:val="sr-Cyrl-RS"/>
        </w:rPr>
        <w:t>методом јав</w:t>
      </w:r>
      <w:r w:rsidR="00FA19A0" w:rsidRPr="00987676">
        <w:rPr>
          <w:rFonts w:ascii="Times New Roman" w:hAnsi="Times New Roman"/>
          <w:b/>
          <w:sz w:val="20"/>
          <w:lang w:val="sr-Cyrl-RS"/>
        </w:rPr>
        <w:t xml:space="preserve">ног </w:t>
      </w:r>
      <w:r w:rsidR="00D27148" w:rsidRPr="00987676">
        <w:rPr>
          <w:rFonts w:ascii="Times New Roman" w:hAnsi="Times New Roman"/>
          <w:b/>
          <w:sz w:val="20"/>
          <w:lang w:val="sr-Cyrl-RS"/>
        </w:rPr>
        <w:t>надметања</w:t>
      </w:r>
    </w:p>
    <w:p w14:paraId="5BF268B7" w14:textId="77777777" w:rsidR="00A2404F" w:rsidRPr="00987676" w:rsidRDefault="00A2404F" w:rsidP="009D7D9B">
      <w:pPr>
        <w:ind w:firstLine="720"/>
        <w:jc w:val="center"/>
        <w:rPr>
          <w:rFonts w:ascii="Times New Roman" w:hAnsi="Times New Roman"/>
          <w:b/>
          <w:sz w:val="20"/>
          <w:lang w:val="sr-Cyrl-RS"/>
        </w:rPr>
      </w:pPr>
    </w:p>
    <w:p w14:paraId="7811F5FD" w14:textId="22EFFF47" w:rsidR="00F56368" w:rsidRPr="00987676" w:rsidRDefault="00F56368" w:rsidP="009D7D9B">
      <w:pPr>
        <w:spacing w:after="120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Предмет продаје јесте непокретна имовина коју чин</w:t>
      </w:r>
      <w:r w:rsidR="00545155" w:rsidRPr="00987676">
        <w:rPr>
          <w:rFonts w:ascii="Times New Roman" w:hAnsi="Times New Roman"/>
          <w:sz w:val="20"/>
          <w:lang w:val="sr-Cyrl-RS"/>
        </w:rPr>
        <w:t>е три имовинске целине</w:t>
      </w:r>
      <w:r w:rsidRPr="00987676">
        <w:rPr>
          <w:rFonts w:ascii="Times New Roman" w:hAnsi="Times New Roman"/>
          <w:sz w:val="20"/>
          <w:lang w:val="sr-Cyrl-RS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59"/>
        <w:gridCol w:w="5401"/>
        <w:gridCol w:w="1527"/>
        <w:gridCol w:w="1283"/>
        <w:gridCol w:w="1280"/>
      </w:tblGrid>
      <w:tr w:rsidR="00A5380C" w:rsidRPr="00987676" w14:paraId="15341A73" w14:textId="30722E77" w:rsidTr="00B9796F">
        <w:trPr>
          <w:trHeight w:val="567"/>
          <w:jc w:val="center"/>
        </w:trPr>
        <w:tc>
          <w:tcPr>
            <w:tcW w:w="346" w:type="pct"/>
            <w:vAlign w:val="center"/>
          </w:tcPr>
          <w:p w14:paraId="6416DF0C" w14:textId="48D7931C" w:rsidR="002570F6" w:rsidRPr="00987676" w:rsidRDefault="002570F6" w:rsidP="009D7D9B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t>Редни</w:t>
            </w: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br/>
              <w:t>број</w:t>
            </w:r>
          </w:p>
        </w:tc>
        <w:tc>
          <w:tcPr>
            <w:tcW w:w="2641" w:type="pct"/>
            <w:vAlign w:val="center"/>
          </w:tcPr>
          <w:p w14:paraId="5C77BE2D" w14:textId="77777777" w:rsidR="002570F6" w:rsidRPr="00987676" w:rsidRDefault="002570F6" w:rsidP="009D7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t>Назив имовине</w:t>
            </w:r>
          </w:p>
        </w:tc>
        <w:tc>
          <w:tcPr>
            <w:tcW w:w="751" w:type="pct"/>
            <w:vAlign w:val="center"/>
          </w:tcPr>
          <w:p w14:paraId="78C7B6FC" w14:textId="77777777" w:rsidR="002570F6" w:rsidRPr="00987676" w:rsidRDefault="002570F6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t>Процењена вредност у РСД</w:t>
            </w:r>
          </w:p>
        </w:tc>
        <w:tc>
          <w:tcPr>
            <w:tcW w:w="632" w:type="pct"/>
            <w:vAlign w:val="center"/>
          </w:tcPr>
          <w:p w14:paraId="20C3DE4E" w14:textId="77777777" w:rsidR="002570F6" w:rsidRPr="00987676" w:rsidRDefault="002570F6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t>Депозит у РСД</w:t>
            </w:r>
          </w:p>
        </w:tc>
        <w:tc>
          <w:tcPr>
            <w:tcW w:w="630" w:type="pct"/>
            <w:vAlign w:val="center"/>
          </w:tcPr>
          <w:p w14:paraId="276D5017" w14:textId="3C77410A" w:rsidR="002570F6" w:rsidRPr="00987676" w:rsidRDefault="002570F6" w:rsidP="00B979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b/>
                <w:bCs/>
                <w:sz w:val="20"/>
                <w:lang w:val="sr-Cyrl-RS"/>
              </w:rPr>
              <w:t>Почетна цена у РСД</w:t>
            </w:r>
          </w:p>
        </w:tc>
      </w:tr>
      <w:tr w:rsidR="00A5380C" w:rsidRPr="00987676" w14:paraId="79CBCFCB" w14:textId="27A6596D" w:rsidTr="00A5380C">
        <w:trPr>
          <w:trHeight w:val="340"/>
          <w:jc w:val="center"/>
        </w:trPr>
        <w:tc>
          <w:tcPr>
            <w:tcW w:w="346" w:type="pct"/>
            <w:vAlign w:val="bottom"/>
          </w:tcPr>
          <w:p w14:paraId="0AE76587" w14:textId="77777777" w:rsidR="002570F6" w:rsidRPr="00987676" w:rsidRDefault="002570F6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1</w:t>
            </w:r>
          </w:p>
        </w:tc>
        <w:tc>
          <w:tcPr>
            <w:tcW w:w="2641" w:type="pct"/>
            <w:vAlign w:val="bottom"/>
          </w:tcPr>
          <w:p w14:paraId="6A2EA4E9" w14:textId="79CFB05D" w:rsidR="002570F6" w:rsidRPr="00987676" w:rsidRDefault="002417CA" w:rsidP="0068760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Локал бр. 1</w:t>
            </w:r>
            <w:r w:rsidR="002570F6" w:rsidRPr="00987676">
              <w:rPr>
                <w:rFonts w:ascii="Times New Roman" w:hAnsi="Times New Roman"/>
                <w:sz w:val="20"/>
                <w:lang w:val="sr-Cyrl-RS"/>
              </w:rPr>
              <w:t xml:space="preserve"> у </w:t>
            </w:r>
            <w:r w:rsidRPr="00987676">
              <w:rPr>
                <w:rFonts w:ascii="Times New Roman" w:hAnsi="Times New Roman"/>
                <w:sz w:val="20"/>
                <w:lang w:val="sr-Cyrl-RS"/>
              </w:rPr>
              <w:t>Београду</w:t>
            </w:r>
            <w:r w:rsidR="002570F6" w:rsidRPr="00987676">
              <w:rPr>
                <w:rFonts w:ascii="Times New Roman" w:hAnsi="Times New Roman"/>
                <w:sz w:val="20"/>
                <w:lang w:val="sr-Cyrl-RS"/>
              </w:rPr>
              <w:t xml:space="preserve">, ул. </w:t>
            </w:r>
            <w:r w:rsidRPr="00987676">
              <w:rPr>
                <w:rFonts w:ascii="Times New Roman" w:hAnsi="Times New Roman"/>
                <w:sz w:val="20"/>
                <w:lang w:val="sr-Cyrl-RS"/>
              </w:rPr>
              <w:t>Хозе Мартија б</w:t>
            </w:r>
            <w:r w:rsidR="002570F6" w:rsidRPr="00987676">
              <w:rPr>
                <w:rFonts w:ascii="Times New Roman" w:hAnsi="Times New Roman"/>
                <w:sz w:val="20"/>
                <w:lang w:val="sr-Cyrl-RS"/>
              </w:rPr>
              <w:t xml:space="preserve">р. 1а, површине </w:t>
            </w:r>
            <w:r w:rsidRPr="00987676">
              <w:rPr>
                <w:rFonts w:ascii="Times New Roman" w:hAnsi="Times New Roman"/>
                <w:sz w:val="20"/>
                <w:lang w:val="sr-Cyrl-RS"/>
              </w:rPr>
              <w:t>37</w:t>
            </w:r>
            <w:r w:rsidR="00A5380C" w:rsidRPr="00987676">
              <w:rPr>
                <w:rFonts w:ascii="Times New Roman" w:hAnsi="Times New Roman"/>
                <w:sz w:val="20"/>
                <w:lang w:val="sr-Latn-RS"/>
              </w:rPr>
              <w:t>m</w:t>
            </w:r>
            <w:r w:rsidR="002570F6" w:rsidRPr="00987676"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751" w:type="pct"/>
            <w:shd w:val="clear" w:color="auto" w:fill="auto"/>
            <w:vAlign w:val="bottom"/>
          </w:tcPr>
          <w:p w14:paraId="1A7979AE" w14:textId="500D9112" w:rsidR="002570F6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4.409.500,00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413DC56D" w14:textId="43520168" w:rsidR="002570F6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881.900,00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33C1609F" w14:textId="3B09DB53" w:rsidR="002570F6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2.204.750,00</w:t>
            </w:r>
          </w:p>
        </w:tc>
      </w:tr>
      <w:tr w:rsidR="00A5380C" w:rsidRPr="00987676" w14:paraId="2BF2400D" w14:textId="77777777" w:rsidTr="00A5380C">
        <w:trPr>
          <w:trHeight w:val="340"/>
          <w:jc w:val="center"/>
        </w:trPr>
        <w:tc>
          <w:tcPr>
            <w:tcW w:w="346" w:type="pct"/>
            <w:vAlign w:val="bottom"/>
          </w:tcPr>
          <w:p w14:paraId="18A98755" w14:textId="5E174798" w:rsidR="00545155" w:rsidRPr="00987676" w:rsidRDefault="00545155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2641" w:type="pct"/>
            <w:vAlign w:val="bottom"/>
          </w:tcPr>
          <w:p w14:paraId="3AB97F40" w14:textId="73EDF9D4" w:rsidR="00545155" w:rsidRPr="00987676" w:rsidRDefault="002417CA" w:rsidP="0068760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Локал бр. 2 у Београду, ул. Хозе Мартија бр. 1а, површине 37</w:t>
            </w:r>
            <w:r w:rsidR="00A5380C" w:rsidRPr="00987676">
              <w:rPr>
                <w:rFonts w:ascii="Times New Roman" w:hAnsi="Times New Roman"/>
                <w:sz w:val="20"/>
                <w:lang w:val="sr-Latn-RS"/>
              </w:rPr>
              <w:t>m</w:t>
            </w:r>
            <w:r w:rsidRPr="00987676"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751" w:type="pct"/>
            <w:shd w:val="clear" w:color="auto" w:fill="auto"/>
            <w:vAlign w:val="bottom"/>
          </w:tcPr>
          <w:p w14:paraId="79539D01" w14:textId="01E2A4B7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4.409.500,00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17BB18A4" w14:textId="183C91B4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881.900,00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7FAD06FE" w14:textId="735F57AD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2.204.750,00</w:t>
            </w:r>
          </w:p>
        </w:tc>
      </w:tr>
      <w:tr w:rsidR="00A5380C" w:rsidRPr="00987676" w14:paraId="23A0778E" w14:textId="77777777" w:rsidTr="00A5380C">
        <w:trPr>
          <w:trHeight w:val="340"/>
          <w:jc w:val="center"/>
        </w:trPr>
        <w:tc>
          <w:tcPr>
            <w:tcW w:w="346" w:type="pct"/>
            <w:vAlign w:val="bottom"/>
          </w:tcPr>
          <w:p w14:paraId="0F54057B" w14:textId="3E227739" w:rsidR="00545155" w:rsidRPr="00987676" w:rsidRDefault="00545155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3</w:t>
            </w:r>
          </w:p>
        </w:tc>
        <w:tc>
          <w:tcPr>
            <w:tcW w:w="2641" w:type="pct"/>
            <w:vAlign w:val="bottom"/>
          </w:tcPr>
          <w:p w14:paraId="256302AC" w14:textId="209DBE67" w:rsidR="00545155" w:rsidRPr="00987676" w:rsidRDefault="002417CA" w:rsidP="0068760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Локал бр. 4 у Београду, ул. Хозе Мартија бр. 1а, површине 37</w:t>
            </w:r>
            <w:r w:rsidR="00A5380C" w:rsidRPr="00987676">
              <w:rPr>
                <w:rFonts w:ascii="Times New Roman" w:hAnsi="Times New Roman"/>
                <w:sz w:val="20"/>
                <w:lang w:val="sr-Latn-RS"/>
              </w:rPr>
              <w:t>m</w:t>
            </w:r>
            <w:r w:rsidRPr="00987676">
              <w:rPr>
                <w:rFonts w:ascii="Times New Roman" w:hAnsi="Times New Roman"/>
                <w:sz w:val="20"/>
                <w:lang w:val="sr-Cyrl-RS"/>
              </w:rPr>
              <w:t>2</w:t>
            </w:r>
          </w:p>
        </w:tc>
        <w:tc>
          <w:tcPr>
            <w:tcW w:w="751" w:type="pct"/>
            <w:shd w:val="clear" w:color="auto" w:fill="auto"/>
            <w:vAlign w:val="bottom"/>
          </w:tcPr>
          <w:p w14:paraId="626A42CB" w14:textId="06969609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4.468.000,00</w:t>
            </w:r>
          </w:p>
        </w:tc>
        <w:tc>
          <w:tcPr>
            <w:tcW w:w="632" w:type="pct"/>
            <w:shd w:val="clear" w:color="auto" w:fill="auto"/>
            <w:vAlign w:val="bottom"/>
          </w:tcPr>
          <w:p w14:paraId="21915C6F" w14:textId="1CC81F94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893.600,00</w:t>
            </w:r>
          </w:p>
        </w:tc>
        <w:tc>
          <w:tcPr>
            <w:tcW w:w="630" w:type="pct"/>
            <w:shd w:val="clear" w:color="auto" w:fill="auto"/>
            <w:vAlign w:val="bottom"/>
          </w:tcPr>
          <w:p w14:paraId="6093DD5F" w14:textId="7D26116E" w:rsidR="00545155" w:rsidRPr="00987676" w:rsidRDefault="002417CA" w:rsidP="0068760A">
            <w:pPr>
              <w:jc w:val="center"/>
              <w:rPr>
                <w:rFonts w:ascii="Times New Roman" w:hAnsi="Times New Roman"/>
                <w:sz w:val="20"/>
                <w:lang w:val="sr-Cyrl-RS"/>
              </w:rPr>
            </w:pPr>
            <w:r w:rsidRPr="00987676">
              <w:rPr>
                <w:rFonts w:ascii="Times New Roman" w:hAnsi="Times New Roman"/>
                <w:sz w:val="20"/>
                <w:lang w:val="sr-Cyrl-RS"/>
              </w:rPr>
              <w:t>2.234.000,00</w:t>
            </w:r>
          </w:p>
        </w:tc>
      </w:tr>
    </w:tbl>
    <w:p w14:paraId="1D7254FB" w14:textId="77777777" w:rsidR="00A2404F" w:rsidRPr="00987676" w:rsidRDefault="00A2404F" w:rsidP="009D7D9B">
      <w:pPr>
        <w:jc w:val="center"/>
        <w:rPr>
          <w:rFonts w:ascii="Times New Roman" w:hAnsi="Times New Roman"/>
          <w:sz w:val="20"/>
          <w:lang w:val="sr-Cyrl-RS"/>
        </w:rPr>
      </w:pPr>
    </w:p>
    <w:p w14:paraId="4632D988" w14:textId="67F317BE" w:rsidR="00A2404F" w:rsidRPr="00987676" w:rsidRDefault="00A2404F" w:rsidP="009D7D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Процењена вредност </w:t>
      </w:r>
      <w:r w:rsidR="002417CA" w:rsidRPr="00987676">
        <w:rPr>
          <w:rFonts w:ascii="Times New Roman" w:hAnsi="Times New Roman"/>
          <w:b/>
          <w:sz w:val="20"/>
          <w:lang w:val="sr-Cyrl-RS"/>
        </w:rPr>
        <w:t xml:space="preserve">имовинских целина 1 и 2 </w:t>
      </w:r>
      <w:r w:rsidRPr="00987676">
        <w:rPr>
          <w:rFonts w:ascii="Times New Roman" w:hAnsi="Times New Roman"/>
          <w:b/>
          <w:sz w:val="20"/>
          <w:lang w:val="sr-Cyrl-RS"/>
        </w:rPr>
        <w:t>износи</w:t>
      </w:r>
      <w:r w:rsidR="00194F47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2417CA" w:rsidRPr="00987676">
        <w:rPr>
          <w:rFonts w:ascii="Times New Roman" w:hAnsi="Times New Roman"/>
          <w:b/>
          <w:sz w:val="20"/>
          <w:lang w:val="sr-Cyrl-RS"/>
        </w:rPr>
        <w:t>по 4.409.500,00</w:t>
      </w:r>
      <w:r w:rsidR="00B821EF" w:rsidRPr="00987676">
        <w:rPr>
          <w:rFonts w:ascii="Times New Roman" w:hAnsi="Times New Roman"/>
          <w:b/>
          <w:sz w:val="20"/>
          <w:lang w:val="sr-Cyrl-RS"/>
        </w:rPr>
        <w:t xml:space="preserve"> динара</w:t>
      </w:r>
      <w:r w:rsidR="001B4138" w:rsidRPr="00987676">
        <w:rPr>
          <w:rFonts w:ascii="Times New Roman" w:hAnsi="Times New Roman"/>
          <w:b/>
          <w:sz w:val="20"/>
          <w:lang w:val="sr-Cyrl-RS"/>
        </w:rPr>
        <w:t>, а имовинск</w:t>
      </w:r>
      <w:r w:rsidR="000128A8" w:rsidRPr="00987676">
        <w:rPr>
          <w:rFonts w:ascii="Times New Roman" w:hAnsi="Times New Roman"/>
          <w:b/>
          <w:sz w:val="20"/>
          <w:lang w:val="sr-Cyrl-RS"/>
        </w:rPr>
        <w:t>e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 целин</w:t>
      </w:r>
      <w:r w:rsidR="000128A8" w:rsidRPr="00987676">
        <w:rPr>
          <w:rFonts w:ascii="Times New Roman" w:hAnsi="Times New Roman"/>
          <w:b/>
          <w:sz w:val="20"/>
          <w:lang w:val="sr-Cyrl-RS"/>
        </w:rPr>
        <w:t>e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194F47" w:rsidRPr="00987676">
        <w:rPr>
          <w:rFonts w:ascii="Times New Roman" w:hAnsi="Times New Roman"/>
          <w:b/>
          <w:sz w:val="20"/>
          <w:lang w:val="sr-Cyrl-RS"/>
        </w:rPr>
        <w:t>3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 износи 4.468.000,00 динара</w:t>
      </w:r>
      <w:r w:rsidRPr="00987676">
        <w:rPr>
          <w:rFonts w:ascii="Times New Roman" w:hAnsi="Times New Roman"/>
          <w:b/>
          <w:sz w:val="20"/>
          <w:lang w:val="sr-Cyrl-RS"/>
        </w:rPr>
        <w:t xml:space="preserve">. </w:t>
      </w:r>
    </w:p>
    <w:p w14:paraId="27D000A9" w14:textId="11F2EF0B" w:rsidR="00175D37" w:rsidRPr="00987676" w:rsidRDefault="00A2404F" w:rsidP="009D7D9B">
      <w:pPr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Депозит за учешће у поступку продаје 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за имовинске целине 1 и 2 </w:t>
      </w:r>
      <w:r w:rsidRPr="00987676">
        <w:rPr>
          <w:rFonts w:ascii="Times New Roman" w:hAnsi="Times New Roman"/>
          <w:b/>
          <w:sz w:val="20"/>
          <w:lang w:val="sr-Cyrl-RS"/>
        </w:rPr>
        <w:t xml:space="preserve">износи </w:t>
      </w:r>
      <w:r w:rsidR="001B4138" w:rsidRPr="00987676">
        <w:rPr>
          <w:rFonts w:ascii="Times New Roman" w:hAnsi="Times New Roman"/>
          <w:b/>
          <w:sz w:val="20"/>
          <w:lang w:val="sr-Cyrl-RS"/>
        </w:rPr>
        <w:t>по 881.900,00</w:t>
      </w:r>
      <w:r w:rsidR="00B821EF" w:rsidRPr="00987676">
        <w:rPr>
          <w:rFonts w:ascii="Times New Roman" w:hAnsi="Times New Roman"/>
          <w:b/>
          <w:sz w:val="20"/>
          <w:lang w:val="sr-Cyrl-RS"/>
        </w:rPr>
        <w:t xml:space="preserve"> динара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, а за имовинску целину </w:t>
      </w:r>
      <w:r w:rsidR="000128A8" w:rsidRPr="00987676">
        <w:rPr>
          <w:rFonts w:ascii="Times New Roman" w:hAnsi="Times New Roman"/>
          <w:b/>
          <w:sz w:val="20"/>
          <w:lang w:val="sr-Cyrl-RS"/>
        </w:rPr>
        <w:t>3</w:t>
      </w:r>
      <w:r w:rsidR="001B4138" w:rsidRPr="00987676">
        <w:rPr>
          <w:rFonts w:ascii="Times New Roman" w:hAnsi="Times New Roman"/>
          <w:b/>
          <w:sz w:val="20"/>
          <w:lang w:val="sr-Cyrl-RS"/>
        </w:rPr>
        <w:t xml:space="preserve"> износи 893.600,00 динара</w:t>
      </w:r>
      <w:r w:rsidRPr="00987676">
        <w:rPr>
          <w:rFonts w:ascii="Times New Roman" w:hAnsi="Times New Roman"/>
          <w:b/>
          <w:sz w:val="20"/>
          <w:lang w:val="sr-Cyrl-RS"/>
        </w:rPr>
        <w:t>.</w:t>
      </w:r>
    </w:p>
    <w:p w14:paraId="0CA9DD89" w14:textId="73E7C151" w:rsidR="002570F6" w:rsidRPr="00987676" w:rsidRDefault="002570F6" w:rsidP="009D7D9B">
      <w:pPr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Почетна цена </w:t>
      </w:r>
      <w:r w:rsidR="000128A8" w:rsidRPr="00987676">
        <w:rPr>
          <w:rFonts w:ascii="Times New Roman" w:hAnsi="Times New Roman"/>
          <w:b/>
          <w:sz w:val="20"/>
          <w:lang w:val="sr-Cyrl-RS"/>
        </w:rPr>
        <w:t xml:space="preserve">на јавном надметању </w:t>
      </w:r>
      <w:r w:rsidR="00CD55B6" w:rsidRPr="00987676">
        <w:rPr>
          <w:rFonts w:ascii="Times New Roman" w:hAnsi="Times New Roman"/>
          <w:b/>
          <w:sz w:val="20"/>
          <w:lang w:val="sr-Cyrl-RS"/>
        </w:rPr>
        <w:t xml:space="preserve">за имовинске целине 1 и 2 износи по 2.204.750,00 динара, а за имовинску целину </w:t>
      </w:r>
      <w:r w:rsidR="000128A8" w:rsidRPr="00987676">
        <w:rPr>
          <w:rFonts w:ascii="Times New Roman" w:hAnsi="Times New Roman"/>
          <w:b/>
          <w:sz w:val="20"/>
          <w:lang w:val="sr-Cyrl-RS"/>
        </w:rPr>
        <w:t>3</w:t>
      </w:r>
      <w:r w:rsidR="00CD55B6" w:rsidRPr="00987676">
        <w:rPr>
          <w:rFonts w:ascii="Times New Roman" w:hAnsi="Times New Roman"/>
          <w:b/>
          <w:sz w:val="20"/>
          <w:lang w:val="sr-Cyrl-RS"/>
        </w:rPr>
        <w:t xml:space="preserve"> износи 2.234.000,00 динара</w:t>
      </w:r>
      <w:r w:rsidRPr="00987676">
        <w:rPr>
          <w:rFonts w:ascii="Times New Roman" w:hAnsi="Times New Roman"/>
          <w:b/>
          <w:sz w:val="20"/>
          <w:lang w:val="sr-Cyrl-RS"/>
        </w:rPr>
        <w:t>.</w:t>
      </w:r>
    </w:p>
    <w:p w14:paraId="046ECE54" w14:textId="77777777" w:rsidR="00175D37" w:rsidRPr="00987676" w:rsidRDefault="00175D37" w:rsidP="007C0F65">
      <w:pPr>
        <w:spacing w:before="120"/>
        <w:jc w:val="both"/>
        <w:rPr>
          <w:rFonts w:ascii="Times New Roman" w:hAnsi="Times New Roman"/>
          <w:sz w:val="20"/>
          <w:u w:val="single"/>
          <w:lang w:val="sr-Cyrl-RS"/>
        </w:rPr>
      </w:pPr>
      <w:r w:rsidRPr="00987676">
        <w:rPr>
          <w:rFonts w:ascii="Times New Roman" w:hAnsi="Times New Roman"/>
          <w:sz w:val="20"/>
          <w:u w:val="single"/>
          <w:lang w:val="sr-Cyrl-RS"/>
        </w:rPr>
        <w:t xml:space="preserve">Право на учешће у поступку </w:t>
      </w:r>
      <w:r w:rsidR="003903B6" w:rsidRPr="00987676">
        <w:rPr>
          <w:rFonts w:ascii="Times New Roman" w:hAnsi="Times New Roman"/>
          <w:sz w:val="20"/>
          <w:u w:val="single"/>
          <w:lang w:val="sr-Cyrl-RS"/>
        </w:rPr>
        <w:t>продаје</w:t>
      </w:r>
      <w:r w:rsidRPr="00987676">
        <w:rPr>
          <w:rFonts w:ascii="Times New Roman" w:hAnsi="Times New Roman"/>
          <w:sz w:val="20"/>
          <w:u w:val="single"/>
          <w:lang w:val="sr-Cyrl-RS"/>
        </w:rPr>
        <w:t xml:space="preserve"> имају сва правна и физичка лица која:</w:t>
      </w:r>
    </w:p>
    <w:p w14:paraId="16B59B25" w14:textId="244771C2" w:rsidR="00C95F28" w:rsidRPr="00987676" w:rsidRDefault="00B00FCB" w:rsidP="009D7D9B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Н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акон добијања профактуре, </w:t>
      </w:r>
      <w:r w:rsidR="00175D37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изврше уплату </w:t>
      </w:r>
      <w:r w:rsidR="0004787B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у износу од </w:t>
      </w:r>
      <w:r w:rsidR="00105EAB" w:rsidRPr="00987676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1</w:t>
      </w:r>
      <w:r w:rsidR="00DA5328" w:rsidRPr="00987676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5</w:t>
      </w:r>
      <w:r w:rsidR="0004787B" w:rsidRPr="00987676">
        <w:rPr>
          <w:rFonts w:ascii="Times New Roman" w:eastAsia="Calibri" w:hAnsi="Times New Roman"/>
          <w:b/>
          <w:bCs/>
          <w:sz w:val="20"/>
          <w:u w:val="single"/>
          <w:shd w:val="clear" w:color="auto" w:fill="FFFFFF" w:themeFill="background1"/>
          <w:lang w:val="sr-Cyrl-RS"/>
        </w:rPr>
        <w:t>.000,00 динара</w:t>
      </w:r>
      <w:r w:rsidR="0004787B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 </w:t>
      </w:r>
      <w:r w:rsidR="00175D37" w:rsidRPr="00987676">
        <w:rPr>
          <w:rFonts w:ascii="Times New Roman" w:hAnsi="Times New Roman"/>
          <w:b/>
          <w:sz w:val="20"/>
          <w:u w:val="single"/>
          <w:lang w:val="sr-Cyrl-RS"/>
        </w:rPr>
        <w:t>ради откупа продајне документације</w:t>
      </w:r>
      <w:r w:rsidR="0014110B" w:rsidRPr="00987676">
        <w:rPr>
          <w:rFonts w:ascii="Times New Roman" w:eastAsia="Calibri" w:hAnsi="Times New Roman"/>
          <w:sz w:val="20"/>
          <w:shd w:val="clear" w:color="auto" w:fill="FFFFFF" w:themeFill="background1"/>
          <w:lang w:val="sr-Cyrl-RS"/>
        </w:rPr>
        <w:t xml:space="preserve">. Профактура се може преузети сваког радног дана 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у периоду од </w:t>
      </w:r>
      <w:r w:rsidR="00911AB6" w:rsidRPr="00987676">
        <w:rPr>
          <w:rFonts w:ascii="Times New Roman" w:hAnsi="Times New Roman"/>
          <w:sz w:val="20"/>
          <w:lang w:val="sr-Cyrl-RS"/>
        </w:rPr>
        <w:t>9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до 1</w:t>
      </w:r>
      <w:r w:rsidR="00D27148" w:rsidRPr="00987676">
        <w:rPr>
          <w:rFonts w:ascii="Times New Roman" w:hAnsi="Times New Roman"/>
          <w:sz w:val="20"/>
          <w:lang w:val="sr-Cyrl-RS"/>
        </w:rPr>
        <w:t>5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часова</w:t>
      </w:r>
      <w:r w:rsidR="00C95F28" w:rsidRPr="00987676">
        <w:rPr>
          <w:rFonts w:ascii="Times New Roman" w:hAnsi="Times New Roman"/>
          <w:sz w:val="20"/>
          <w:lang w:val="sr-Cyrl-RS"/>
        </w:rPr>
        <w:t>,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у </w:t>
      </w:r>
      <w:r w:rsidR="00A2404F" w:rsidRPr="00987676">
        <w:rPr>
          <w:rFonts w:ascii="Times New Roman" w:hAnsi="Times New Roman"/>
          <w:sz w:val="20"/>
          <w:lang w:val="sr-Cyrl-RS"/>
        </w:rPr>
        <w:t>просторијама стечајн</w:t>
      </w:r>
      <w:r w:rsidR="00CD55B6" w:rsidRPr="00987676">
        <w:rPr>
          <w:rFonts w:ascii="Times New Roman" w:hAnsi="Times New Roman"/>
          <w:sz w:val="20"/>
          <w:lang w:val="sr-Cyrl-RS"/>
        </w:rPr>
        <w:t>ог</w:t>
      </w:r>
      <w:r w:rsidR="00A2404F" w:rsidRPr="00987676">
        <w:rPr>
          <w:rFonts w:ascii="Times New Roman" w:hAnsi="Times New Roman"/>
          <w:sz w:val="20"/>
          <w:lang w:val="sr-Cyrl-RS"/>
        </w:rPr>
        <w:t xml:space="preserve"> </w:t>
      </w:r>
      <w:r w:rsidR="00CD55B6" w:rsidRPr="00987676">
        <w:rPr>
          <w:rFonts w:ascii="Times New Roman" w:hAnsi="Times New Roman"/>
          <w:sz w:val="20"/>
          <w:lang w:val="sr-Cyrl-RS"/>
        </w:rPr>
        <w:t>дужника</w:t>
      </w:r>
      <w:r w:rsidR="00A2404F" w:rsidRPr="00987676">
        <w:rPr>
          <w:rFonts w:ascii="Times New Roman" w:hAnsi="Times New Roman"/>
          <w:sz w:val="20"/>
          <w:lang w:val="sr-Cyrl-RS"/>
        </w:rPr>
        <w:t xml:space="preserve"> </w:t>
      </w:r>
      <w:r w:rsidR="002172E4" w:rsidRPr="00987676">
        <w:rPr>
          <w:rFonts w:ascii="Times New Roman" w:hAnsi="Times New Roman"/>
          <w:sz w:val="20"/>
          <w:lang w:val="sr-Cyrl-RS"/>
        </w:rPr>
        <w:t>у Београду</w:t>
      </w:r>
      <w:r w:rsidRPr="00987676">
        <w:rPr>
          <w:rFonts w:ascii="Times New Roman" w:hAnsi="Times New Roman"/>
          <w:sz w:val="20"/>
          <w:lang w:val="sr-Latn-RS"/>
        </w:rPr>
        <w:t>,</w:t>
      </w:r>
      <w:r w:rsidR="002172E4" w:rsidRPr="00987676">
        <w:rPr>
          <w:rFonts w:ascii="Times New Roman" w:hAnsi="Times New Roman"/>
          <w:sz w:val="20"/>
          <w:lang w:val="sr-Cyrl-RS"/>
        </w:rPr>
        <w:t xml:space="preserve"> </w:t>
      </w:r>
      <w:r w:rsidR="00CD55B6" w:rsidRPr="00987676">
        <w:rPr>
          <w:rFonts w:ascii="Times New Roman" w:hAnsi="Times New Roman"/>
          <w:sz w:val="20"/>
          <w:lang w:val="sr-Cyrl-RS"/>
        </w:rPr>
        <w:t>Баба Вишњина бр. 26</w:t>
      </w:r>
      <w:r w:rsidR="002172E4" w:rsidRPr="00987676">
        <w:rPr>
          <w:rFonts w:ascii="Times New Roman" w:hAnsi="Times New Roman"/>
          <w:sz w:val="20"/>
          <w:lang w:val="sr-Cyrl-RS"/>
        </w:rPr>
        <w:t xml:space="preserve">, 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уз претходну најаву на телефон број </w:t>
      </w:r>
      <w:r w:rsidR="00D51D8F" w:rsidRPr="00987676">
        <w:rPr>
          <w:rFonts w:ascii="Times New Roman" w:hAnsi="Times New Roman"/>
          <w:sz w:val="20"/>
          <w:lang w:val="sr-Cyrl-RS"/>
        </w:rPr>
        <w:t xml:space="preserve">+381 11 </w:t>
      </w:r>
      <w:r w:rsidR="00CD55B6" w:rsidRPr="00987676">
        <w:rPr>
          <w:rFonts w:ascii="Times New Roman" w:hAnsi="Times New Roman"/>
          <w:sz w:val="20"/>
          <w:lang w:val="sr-Cyrl-RS"/>
        </w:rPr>
        <w:t>398</w:t>
      </w:r>
      <w:r w:rsidR="00481DFF" w:rsidRPr="00987676">
        <w:rPr>
          <w:rFonts w:ascii="Times New Roman" w:hAnsi="Times New Roman"/>
          <w:sz w:val="20"/>
          <w:lang w:val="sr-Cyrl-RS"/>
        </w:rPr>
        <w:t>-</w:t>
      </w:r>
      <w:r w:rsidR="00DA5328" w:rsidRPr="00987676">
        <w:rPr>
          <w:rFonts w:ascii="Times New Roman" w:hAnsi="Times New Roman"/>
          <w:sz w:val="20"/>
          <w:lang w:val="sr-Cyrl-RS"/>
        </w:rPr>
        <w:t>8</w:t>
      </w:r>
      <w:r w:rsidR="00CD55B6" w:rsidRPr="00987676">
        <w:rPr>
          <w:rFonts w:ascii="Times New Roman" w:hAnsi="Times New Roman"/>
          <w:sz w:val="20"/>
          <w:lang w:val="sr-Cyrl-RS"/>
        </w:rPr>
        <w:t>4</w:t>
      </w:r>
      <w:r w:rsidR="00481DFF" w:rsidRPr="00987676">
        <w:rPr>
          <w:rFonts w:ascii="Times New Roman" w:hAnsi="Times New Roman"/>
          <w:sz w:val="20"/>
          <w:lang w:val="sr-Cyrl-RS"/>
        </w:rPr>
        <w:t>-</w:t>
      </w:r>
      <w:r w:rsidR="00CD55B6" w:rsidRPr="00987676">
        <w:rPr>
          <w:rFonts w:ascii="Times New Roman" w:hAnsi="Times New Roman"/>
          <w:sz w:val="20"/>
          <w:lang w:val="sr-Cyrl-RS"/>
        </w:rPr>
        <w:t>18</w:t>
      </w:r>
      <w:r w:rsidRPr="00987676">
        <w:rPr>
          <w:rFonts w:ascii="Times New Roman" w:hAnsi="Times New Roman"/>
          <w:sz w:val="20"/>
          <w:lang w:val="sr-Latn-RS"/>
        </w:rPr>
        <w:t>.</w:t>
      </w:r>
    </w:p>
    <w:p w14:paraId="0EDBCF12" w14:textId="55C56F71" w:rsidR="008A010A" w:rsidRPr="00987676" w:rsidRDefault="00175D37" w:rsidP="009D7D9B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Рок за откуп продајне документације је </w:t>
      </w:r>
      <w:r w:rsidR="00D9164C" w:rsidRPr="00987676">
        <w:rPr>
          <w:rFonts w:ascii="Times New Roman" w:hAnsi="Times New Roman"/>
          <w:b/>
          <w:sz w:val="20"/>
          <w:lang w:val="sr-Cyrl-RS"/>
        </w:rPr>
        <w:t>21</w:t>
      </w:r>
      <w:r w:rsidR="00A239BB" w:rsidRPr="00987676">
        <w:rPr>
          <w:rFonts w:ascii="Times New Roman" w:hAnsi="Times New Roman"/>
          <w:b/>
          <w:sz w:val="20"/>
          <w:lang w:val="sr-Cyrl-RS"/>
        </w:rPr>
        <w:t>.</w:t>
      </w:r>
      <w:r w:rsidR="00883B27" w:rsidRPr="00987676">
        <w:rPr>
          <w:rFonts w:ascii="Times New Roman" w:hAnsi="Times New Roman"/>
          <w:b/>
          <w:sz w:val="20"/>
          <w:lang w:val="sr-Cyrl-RS"/>
        </w:rPr>
        <w:t>0</w:t>
      </w:r>
      <w:r w:rsidR="00D9164C" w:rsidRPr="00987676">
        <w:rPr>
          <w:rFonts w:ascii="Times New Roman" w:hAnsi="Times New Roman"/>
          <w:b/>
          <w:sz w:val="20"/>
          <w:lang w:val="sr-Cyrl-RS"/>
        </w:rPr>
        <w:t>9</w:t>
      </w:r>
      <w:r w:rsidR="00A239BB" w:rsidRPr="00987676">
        <w:rPr>
          <w:rFonts w:ascii="Times New Roman" w:hAnsi="Times New Roman"/>
          <w:b/>
          <w:sz w:val="20"/>
          <w:lang w:val="sr-Cyrl-RS"/>
        </w:rPr>
        <w:t>.20</w:t>
      </w:r>
      <w:r w:rsidR="00883B27" w:rsidRPr="00987676">
        <w:rPr>
          <w:rFonts w:ascii="Times New Roman" w:hAnsi="Times New Roman"/>
          <w:b/>
          <w:sz w:val="20"/>
          <w:lang w:val="sr-Cyrl-RS"/>
        </w:rPr>
        <w:t>20</w:t>
      </w:r>
      <w:r w:rsidR="00CA2F81" w:rsidRPr="00987676">
        <w:rPr>
          <w:rFonts w:ascii="Times New Roman" w:hAnsi="Times New Roman"/>
          <w:b/>
          <w:sz w:val="20"/>
          <w:lang w:val="sr-Cyrl-RS"/>
        </w:rPr>
        <w:t>.</w:t>
      </w:r>
      <w:r w:rsidRPr="00987676">
        <w:rPr>
          <w:rFonts w:ascii="Times New Roman" w:hAnsi="Times New Roman"/>
          <w:b/>
          <w:sz w:val="20"/>
          <w:lang w:val="sr-Cyrl-RS"/>
        </w:rPr>
        <w:t xml:space="preserve"> године</w:t>
      </w:r>
      <w:r w:rsidR="00C908D3" w:rsidRPr="00987676">
        <w:rPr>
          <w:rFonts w:ascii="Times New Roman" w:hAnsi="Times New Roman"/>
          <w:b/>
          <w:sz w:val="20"/>
          <w:lang w:val="sr-Cyrl-RS"/>
        </w:rPr>
        <w:t>.</w:t>
      </w:r>
      <w:r w:rsidR="0071310F" w:rsidRPr="00987676">
        <w:rPr>
          <w:rFonts w:ascii="Times New Roman" w:hAnsi="Times New Roman"/>
          <w:b/>
          <w:sz w:val="20"/>
          <w:lang w:val="sr-Cyrl-RS"/>
        </w:rPr>
        <w:t xml:space="preserve"> </w:t>
      </w:r>
    </w:p>
    <w:p w14:paraId="500D885F" w14:textId="5F0817AB" w:rsidR="00175D37" w:rsidRPr="00987676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 xml:space="preserve">Након откупа, продајна документација се може преузети директно на адреси </w:t>
      </w:r>
      <w:r w:rsidR="00D27148" w:rsidRPr="00987676">
        <w:rPr>
          <w:rFonts w:ascii="Times New Roman" w:hAnsi="Times New Roman"/>
          <w:bCs/>
          <w:sz w:val="20"/>
          <w:lang w:val="sr-Cyrl-RS"/>
        </w:rPr>
        <w:t>стечајн</w:t>
      </w:r>
      <w:r w:rsidR="00CD55B6" w:rsidRPr="00987676">
        <w:rPr>
          <w:rFonts w:ascii="Times New Roman" w:hAnsi="Times New Roman"/>
          <w:bCs/>
          <w:sz w:val="20"/>
          <w:lang w:val="sr-Cyrl-RS"/>
        </w:rPr>
        <w:t>ог</w:t>
      </w:r>
      <w:r w:rsidR="00D27148" w:rsidRPr="00987676">
        <w:rPr>
          <w:rFonts w:ascii="Times New Roman" w:hAnsi="Times New Roman"/>
          <w:bCs/>
          <w:sz w:val="20"/>
          <w:lang w:val="sr-Cyrl-RS"/>
        </w:rPr>
        <w:t xml:space="preserve"> </w:t>
      </w:r>
      <w:r w:rsidR="00CD55B6" w:rsidRPr="00987676">
        <w:rPr>
          <w:rFonts w:ascii="Times New Roman" w:hAnsi="Times New Roman"/>
          <w:bCs/>
          <w:sz w:val="20"/>
          <w:lang w:val="sr-Cyrl-RS"/>
        </w:rPr>
        <w:t>дужника</w:t>
      </w:r>
      <w:r w:rsidRPr="00987676">
        <w:rPr>
          <w:rFonts w:ascii="Times New Roman" w:hAnsi="Times New Roman"/>
          <w:bCs/>
          <w:sz w:val="20"/>
          <w:lang w:val="sr-Cyrl-RS"/>
        </w:rPr>
        <w:t xml:space="preserve">, у Београду, </w:t>
      </w:r>
      <w:r w:rsidR="00CD55B6" w:rsidRPr="00987676">
        <w:rPr>
          <w:rFonts w:ascii="Times New Roman" w:hAnsi="Times New Roman"/>
          <w:bCs/>
          <w:sz w:val="20"/>
          <w:lang w:val="sr-Cyrl-RS"/>
        </w:rPr>
        <w:t>Баба Вишњина бр. 26</w:t>
      </w:r>
      <w:r w:rsidR="00D27148" w:rsidRPr="00987676">
        <w:rPr>
          <w:rFonts w:ascii="Times New Roman" w:hAnsi="Times New Roman"/>
          <w:bCs/>
          <w:sz w:val="20"/>
          <w:lang w:val="sr-Cyrl-RS"/>
        </w:rPr>
        <w:t xml:space="preserve"> </w:t>
      </w:r>
      <w:r w:rsidRPr="00987676">
        <w:rPr>
          <w:rFonts w:ascii="Times New Roman" w:hAnsi="Times New Roman"/>
          <w:bCs/>
          <w:sz w:val="20"/>
          <w:lang w:val="sr-Cyrl-RS"/>
        </w:rPr>
        <w:t xml:space="preserve">или се </w:t>
      </w:r>
      <w:r w:rsidR="009826B1" w:rsidRPr="00987676">
        <w:rPr>
          <w:rFonts w:ascii="Times New Roman" w:hAnsi="Times New Roman"/>
          <w:bCs/>
          <w:sz w:val="20"/>
          <w:lang w:val="sr-Cyrl-RS"/>
        </w:rPr>
        <w:t>заинтересованом лицу продајна докуме</w:t>
      </w:r>
      <w:r w:rsidR="00F73C54" w:rsidRPr="00987676">
        <w:rPr>
          <w:rFonts w:ascii="Times New Roman" w:hAnsi="Times New Roman"/>
          <w:bCs/>
          <w:sz w:val="20"/>
          <w:lang w:val="sr-Cyrl-RS"/>
        </w:rPr>
        <w:t>н</w:t>
      </w:r>
      <w:r w:rsidR="009826B1" w:rsidRPr="00987676">
        <w:rPr>
          <w:rFonts w:ascii="Times New Roman" w:hAnsi="Times New Roman"/>
          <w:bCs/>
          <w:sz w:val="20"/>
          <w:lang w:val="sr-Cyrl-RS"/>
        </w:rPr>
        <w:t>тација</w:t>
      </w:r>
      <w:r w:rsidR="00F73C54" w:rsidRPr="00987676">
        <w:rPr>
          <w:rFonts w:ascii="Times New Roman" w:hAnsi="Times New Roman"/>
          <w:bCs/>
          <w:sz w:val="20"/>
          <w:lang w:val="sr-Cyrl-RS"/>
        </w:rPr>
        <w:t>,</w:t>
      </w:r>
      <w:r w:rsidR="009826B1" w:rsidRPr="00987676">
        <w:rPr>
          <w:rFonts w:ascii="Times New Roman" w:hAnsi="Times New Roman"/>
          <w:bCs/>
          <w:sz w:val="20"/>
          <w:lang w:val="sr-Cyrl-RS"/>
        </w:rPr>
        <w:t xml:space="preserve"> на његов захтев</w:t>
      </w:r>
      <w:r w:rsidR="00F73C54" w:rsidRPr="00987676">
        <w:rPr>
          <w:rFonts w:ascii="Times New Roman" w:hAnsi="Times New Roman"/>
          <w:bCs/>
          <w:sz w:val="20"/>
          <w:lang w:val="sr-Cyrl-RS"/>
        </w:rPr>
        <w:t>,</w:t>
      </w:r>
      <w:r w:rsidR="009826B1" w:rsidRPr="00987676">
        <w:rPr>
          <w:rFonts w:ascii="Times New Roman" w:hAnsi="Times New Roman"/>
          <w:bCs/>
          <w:sz w:val="20"/>
          <w:lang w:val="sr-Cyrl-RS"/>
        </w:rPr>
        <w:t xml:space="preserve"> може доставити поштом и електронском поштом, </w:t>
      </w:r>
      <w:r w:rsidRPr="00987676">
        <w:rPr>
          <w:rFonts w:ascii="Times New Roman" w:hAnsi="Times New Roman"/>
          <w:bCs/>
          <w:sz w:val="20"/>
          <w:lang w:val="sr-Cyrl-RS"/>
        </w:rPr>
        <w:t>на његову адресу</w:t>
      </w:r>
      <w:r w:rsidR="002570F6" w:rsidRPr="00987676">
        <w:rPr>
          <w:rFonts w:ascii="Times New Roman" w:hAnsi="Times New Roman"/>
          <w:bCs/>
          <w:sz w:val="20"/>
          <w:lang w:val="sr-Cyrl-RS"/>
        </w:rPr>
        <w:t xml:space="preserve"> и иста служи само за потребе учествовања у оглашеном јавном надемтању</w:t>
      </w:r>
      <w:r w:rsidRPr="00987676">
        <w:rPr>
          <w:rFonts w:ascii="Times New Roman" w:hAnsi="Times New Roman"/>
          <w:bCs/>
          <w:sz w:val="20"/>
          <w:lang w:val="sr-Cyrl-RS"/>
        </w:rPr>
        <w:t>.</w:t>
      </w:r>
      <w:r w:rsidR="0071310F" w:rsidRPr="00987676">
        <w:rPr>
          <w:rFonts w:ascii="Times New Roman" w:hAnsi="Times New Roman"/>
          <w:b/>
          <w:sz w:val="20"/>
          <w:lang w:val="sr-Cyrl-RS"/>
        </w:rPr>
        <w:t xml:space="preserve">          </w:t>
      </w:r>
    </w:p>
    <w:p w14:paraId="32358B9D" w14:textId="37BEABC8" w:rsidR="00175D37" w:rsidRPr="00987676" w:rsidRDefault="00B00FCB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u w:val="single"/>
          <w:lang w:val="sr-Cyrl-RS"/>
        </w:rPr>
        <w:t>У</w:t>
      </w:r>
      <w:r w:rsidR="00175D37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плате депозит </w:t>
      </w:r>
      <w:r w:rsidR="00CD55B6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у висини од </w:t>
      </w:r>
      <w:r w:rsidR="00175D37" w:rsidRPr="00987676">
        <w:rPr>
          <w:rFonts w:ascii="Times New Roman" w:hAnsi="Times New Roman"/>
          <w:b/>
          <w:sz w:val="20"/>
          <w:u w:val="single"/>
          <w:lang w:val="sr-Cyrl-RS"/>
        </w:rPr>
        <w:t>20% од процењене вредности предмета продаје</w:t>
      </w:r>
      <w:r w:rsidR="00442D0F" w:rsidRPr="00987676">
        <w:rPr>
          <w:rFonts w:ascii="Times New Roman" w:hAnsi="Times New Roman"/>
          <w:sz w:val="20"/>
          <w:lang w:val="sr-Cyrl-RS"/>
        </w:rPr>
        <w:t>,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</w:t>
      </w:r>
      <w:r w:rsidR="00175D37" w:rsidRPr="00987676">
        <w:rPr>
          <w:rFonts w:ascii="Times New Roman" w:hAnsi="Times New Roman"/>
          <w:b/>
          <w:sz w:val="20"/>
          <w:lang w:val="sr-Cyrl-RS"/>
        </w:rPr>
        <w:t xml:space="preserve">на </w:t>
      </w:r>
      <w:r w:rsidR="00E7310C" w:rsidRPr="00987676">
        <w:rPr>
          <w:rFonts w:ascii="Times New Roman" w:hAnsi="Times New Roman"/>
          <w:b/>
          <w:sz w:val="20"/>
          <w:lang w:val="sr-Cyrl-RS"/>
        </w:rPr>
        <w:t xml:space="preserve">динарски </w:t>
      </w:r>
      <w:r w:rsidR="00175D37" w:rsidRPr="00987676">
        <w:rPr>
          <w:rFonts w:ascii="Times New Roman" w:hAnsi="Times New Roman"/>
          <w:b/>
          <w:sz w:val="20"/>
          <w:lang w:val="sr-Cyrl-RS"/>
        </w:rPr>
        <w:t>текући рачун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стечајног дужника</w:t>
      </w:r>
      <w:r w:rsidR="00175D37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175D37" w:rsidRPr="00987676">
        <w:rPr>
          <w:rFonts w:ascii="Times New Roman" w:hAnsi="Times New Roman"/>
          <w:sz w:val="20"/>
          <w:lang w:val="sr-Cyrl-RS"/>
        </w:rPr>
        <w:t>број:</w:t>
      </w:r>
      <w:r w:rsidR="00175D37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D27148" w:rsidRPr="00987676">
        <w:rPr>
          <w:rFonts w:ascii="Times New Roman" w:hAnsi="Times New Roman"/>
          <w:b/>
          <w:sz w:val="20"/>
          <w:u w:val="single"/>
          <w:lang w:val="sr-Cyrl-RS"/>
        </w:rPr>
        <w:t>205-</w:t>
      </w:r>
      <w:r w:rsidR="0099019D" w:rsidRPr="00987676">
        <w:rPr>
          <w:rFonts w:ascii="Times New Roman" w:hAnsi="Times New Roman"/>
          <w:b/>
          <w:sz w:val="20"/>
          <w:u w:val="single"/>
          <w:lang w:val="sr-Cyrl-RS"/>
        </w:rPr>
        <w:t>271808</w:t>
      </w:r>
      <w:r w:rsidR="00D27148" w:rsidRPr="00987676">
        <w:rPr>
          <w:rFonts w:ascii="Times New Roman" w:hAnsi="Times New Roman"/>
          <w:b/>
          <w:sz w:val="20"/>
          <w:u w:val="single"/>
          <w:lang w:val="sr-Cyrl-RS"/>
        </w:rPr>
        <w:t>-</w:t>
      </w:r>
      <w:r w:rsidR="0099019D" w:rsidRPr="00987676">
        <w:rPr>
          <w:rFonts w:ascii="Times New Roman" w:hAnsi="Times New Roman"/>
          <w:b/>
          <w:sz w:val="20"/>
          <w:u w:val="single"/>
          <w:lang w:val="sr-Cyrl-RS"/>
        </w:rPr>
        <w:t>46</w:t>
      </w:r>
      <w:r w:rsidR="009D7D9B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 </w:t>
      </w:r>
      <w:r w:rsidR="00A2404F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код </w:t>
      </w:r>
      <w:r w:rsidR="0004787B" w:rsidRPr="00987676">
        <w:rPr>
          <w:rFonts w:ascii="Times New Roman" w:hAnsi="Times New Roman"/>
          <w:b/>
          <w:sz w:val="20"/>
          <w:u w:val="single"/>
          <w:lang w:val="sr-Cyrl-RS"/>
        </w:rPr>
        <w:t xml:space="preserve">Комерцијалне банке </w:t>
      </w:r>
      <w:r w:rsidR="00A2404F" w:rsidRPr="00987676">
        <w:rPr>
          <w:rFonts w:ascii="Times New Roman" w:hAnsi="Times New Roman"/>
          <w:b/>
          <w:sz w:val="20"/>
          <w:u w:val="single"/>
          <w:lang w:val="sr-Cyrl-RS"/>
        </w:rPr>
        <w:t>ад Београд</w:t>
      </w:r>
      <w:r w:rsidR="00E7310C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175D37" w:rsidRPr="00987676">
        <w:rPr>
          <w:rFonts w:ascii="Times New Roman" w:hAnsi="Times New Roman"/>
          <w:sz w:val="20"/>
          <w:lang w:val="sr-Cyrl-RS"/>
        </w:rPr>
        <w:t>или положе неопозив</w:t>
      </w:r>
      <w:r w:rsidR="00C908D3" w:rsidRPr="00987676">
        <w:rPr>
          <w:rFonts w:ascii="Times New Roman" w:hAnsi="Times New Roman"/>
          <w:sz w:val="20"/>
          <w:lang w:val="sr-Cyrl-RS"/>
        </w:rPr>
        <w:t>у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првокласн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у </w:t>
      </w:r>
      <w:r w:rsidR="00175D37" w:rsidRPr="00987676">
        <w:rPr>
          <w:rFonts w:ascii="Times New Roman" w:hAnsi="Times New Roman"/>
          <w:sz w:val="20"/>
          <w:lang w:val="sr-Cyrl-RS"/>
        </w:rPr>
        <w:t>банкарск</w:t>
      </w:r>
      <w:r w:rsidR="00C908D3" w:rsidRPr="00987676">
        <w:rPr>
          <w:rFonts w:ascii="Times New Roman" w:hAnsi="Times New Roman"/>
          <w:sz w:val="20"/>
          <w:lang w:val="sr-Cyrl-RS"/>
        </w:rPr>
        <w:t>у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гаранциј</w:t>
      </w:r>
      <w:r w:rsidR="00C908D3" w:rsidRPr="00987676">
        <w:rPr>
          <w:rFonts w:ascii="Times New Roman" w:hAnsi="Times New Roman"/>
          <w:sz w:val="20"/>
          <w:lang w:val="sr-Cyrl-RS"/>
        </w:rPr>
        <w:t>у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наплатив</w:t>
      </w:r>
      <w:r w:rsidR="00C908D3" w:rsidRPr="00987676">
        <w:rPr>
          <w:rFonts w:ascii="Times New Roman" w:hAnsi="Times New Roman"/>
          <w:sz w:val="20"/>
          <w:lang w:val="sr-Cyrl-RS"/>
        </w:rPr>
        <w:t>у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 на први позив,</w:t>
      </w:r>
      <w:r w:rsidR="00442D0F" w:rsidRPr="00987676">
        <w:rPr>
          <w:rFonts w:ascii="Times New Roman" w:hAnsi="Times New Roman"/>
          <w:sz w:val="20"/>
          <w:lang w:val="sr-Cyrl-RS"/>
        </w:rPr>
        <w:t xml:space="preserve"> 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најкасније </w:t>
      </w:r>
      <w:r w:rsidR="00C908D3" w:rsidRPr="00987676">
        <w:rPr>
          <w:rFonts w:ascii="Times New Roman" w:hAnsi="Times New Roman"/>
          <w:b/>
          <w:sz w:val="20"/>
          <w:lang w:val="sr-Cyrl-RS"/>
        </w:rPr>
        <w:t xml:space="preserve">3 </w:t>
      </w:r>
      <w:r w:rsidR="00A2404F" w:rsidRPr="00987676">
        <w:rPr>
          <w:rFonts w:ascii="Times New Roman" w:hAnsi="Times New Roman"/>
          <w:b/>
          <w:sz w:val="20"/>
          <w:lang w:val="sr-Cyrl-RS"/>
        </w:rPr>
        <w:t xml:space="preserve">радна </w:t>
      </w:r>
      <w:r w:rsidR="00C908D3" w:rsidRPr="00987676">
        <w:rPr>
          <w:rFonts w:ascii="Times New Roman" w:hAnsi="Times New Roman"/>
          <w:b/>
          <w:sz w:val="20"/>
          <w:lang w:val="sr-Cyrl-RS"/>
        </w:rPr>
        <w:t>дана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пре одржавања продаје</w:t>
      </w:r>
      <w:r w:rsidR="00442D0F" w:rsidRPr="00987676">
        <w:rPr>
          <w:rFonts w:ascii="Times New Roman" w:hAnsi="Times New Roman"/>
          <w:sz w:val="20"/>
          <w:lang w:val="sr-Cyrl-RS"/>
        </w:rPr>
        <w:t xml:space="preserve"> </w:t>
      </w:r>
      <w:r w:rsidR="00C908D3" w:rsidRPr="00987676">
        <w:rPr>
          <w:rFonts w:ascii="Times New Roman" w:hAnsi="Times New Roman"/>
          <w:b/>
          <w:sz w:val="20"/>
          <w:lang w:val="sr-Cyrl-RS"/>
        </w:rPr>
        <w:t xml:space="preserve">(рок за уплату депозита је </w:t>
      </w:r>
      <w:r w:rsidR="00D9164C" w:rsidRPr="00987676">
        <w:rPr>
          <w:rFonts w:ascii="Times New Roman" w:hAnsi="Times New Roman"/>
          <w:b/>
          <w:sz w:val="20"/>
          <w:lang w:val="sr-Cyrl-RS"/>
        </w:rPr>
        <w:t>21</w:t>
      </w:r>
      <w:r w:rsidR="00AD2D36" w:rsidRPr="00987676">
        <w:rPr>
          <w:rFonts w:ascii="Times New Roman" w:hAnsi="Times New Roman"/>
          <w:b/>
          <w:sz w:val="20"/>
          <w:lang w:val="sr-Cyrl-RS"/>
        </w:rPr>
        <w:t>.0</w:t>
      </w:r>
      <w:r w:rsidR="00D9164C" w:rsidRPr="00987676">
        <w:rPr>
          <w:rFonts w:ascii="Times New Roman" w:hAnsi="Times New Roman"/>
          <w:b/>
          <w:sz w:val="20"/>
          <w:lang w:val="sr-Cyrl-RS"/>
        </w:rPr>
        <w:t>9</w:t>
      </w:r>
      <w:r w:rsidR="00AD2D36" w:rsidRPr="00987676">
        <w:rPr>
          <w:rFonts w:ascii="Times New Roman" w:hAnsi="Times New Roman"/>
          <w:b/>
          <w:sz w:val="20"/>
          <w:lang w:val="sr-Cyrl-RS"/>
        </w:rPr>
        <w:t xml:space="preserve">.2020. </w:t>
      </w:r>
      <w:r w:rsidR="00C908D3" w:rsidRPr="00987676">
        <w:rPr>
          <w:rFonts w:ascii="Times New Roman" w:hAnsi="Times New Roman"/>
          <w:b/>
          <w:sz w:val="20"/>
          <w:lang w:val="sr-Cyrl-RS"/>
        </w:rPr>
        <w:t>године)</w:t>
      </w:r>
      <w:r w:rsidR="00175D37" w:rsidRPr="00987676">
        <w:rPr>
          <w:rFonts w:ascii="Times New Roman" w:hAnsi="Times New Roman"/>
          <w:sz w:val="20"/>
          <w:lang w:val="sr-Cyrl-RS"/>
        </w:rPr>
        <w:t xml:space="preserve">. </w:t>
      </w:r>
      <w:r w:rsidR="00C908D3" w:rsidRPr="00987676">
        <w:rPr>
          <w:rFonts w:ascii="Times New Roman" w:hAnsi="Times New Roman"/>
          <w:sz w:val="20"/>
          <w:lang w:val="sr-Cyrl-RS"/>
        </w:rPr>
        <w:t>У случају да се као депозит положи првокласна банкарска гаранција, оригинал исте се ради провере мора доставити искључиво лично на адресу</w:t>
      </w:r>
      <w:r w:rsidR="00A2404F" w:rsidRPr="00987676">
        <w:rPr>
          <w:rFonts w:ascii="Times New Roman" w:hAnsi="Times New Roman"/>
          <w:sz w:val="20"/>
          <w:lang w:val="sr-Cyrl-RS"/>
        </w:rPr>
        <w:t xml:space="preserve"> стечајн</w:t>
      </w:r>
      <w:r w:rsidR="0099019D" w:rsidRPr="00987676">
        <w:rPr>
          <w:rFonts w:ascii="Times New Roman" w:hAnsi="Times New Roman"/>
          <w:sz w:val="20"/>
          <w:lang w:val="sr-Cyrl-RS"/>
        </w:rPr>
        <w:t>ог</w:t>
      </w:r>
      <w:r w:rsidR="005A3879" w:rsidRPr="00987676">
        <w:rPr>
          <w:rFonts w:ascii="Times New Roman" w:hAnsi="Times New Roman"/>
          <w:sz w:val="20"/>
          <w:lang w:val="sr-Cyrl-RS"/>
        </w:rPr>
        <w:t xml:space="preserve"> </w:t>
      </w:r>
      <w:r w:rsidR="0099019D" w:rsidRPr="00987676">
        <w:rPr>
          <w:rFonts w:ascii="Times New Roman" w:hAnsi="Times New Roman"/>
          <w:sz w:val="20"/>
          <w:lang w:val="sr-Cyrl-RS"/>
        </w:rPr>
        <w:t>дужника</w:t>
      </w:r>
      <w:r w:rsidR="005A3879" w:rsidRPr="00987676">
        <w:rPr>
          <w:rFonts w:ascii="Times New Roman" w:hAnsi="Times New Roman"/>
          <w:sz w:val="20"/>
          <w:lang w:val="sr-Cyrl-RS"/>
        </w:rPr>
        <w:t xml:space="preserve"> </w:t>
      </w:r>
      <w:r w:rsidR="00A2404F" w:rsidRPr="00987676">
        <w:rPr>
          <w:rFonts w:ascii="Times New Roman" w:hAnsi="Times New Roman"/>
          <w:sz w:val="20"/>
          <w:lang w:val="sr-Cyrl-RS"/>
        </w:rPr>
        <w:t xml:space="preserve">у Београду, ул. </w:t>
      </w:r>
      <w:r w:rsidR="0099019D" w:rsidRPr="00987676">
        <w:rPr>
          <w:rFonts w:ascii="Times New Roman" w:hAnsi="Times New Roman"/>
          <w:sz w:val="20"/>
          <w:lang w:val="sr-Cyrl-RS"/>
        </w:rPr>
        <w:t>Баба Вишњина бр. 26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, најкасније дана </w:t>
      </w:r>
      <w:r w:rsidR="00D9164C" w:rsidRPr="00987676">
        <w:rPr>
          <w:rFonts w:ascii="Times New Roman" w:hAnsi="Times New Roman"/>
          <w:b/>
          <w:sz w:val="20"/>
          <w:lang w:val="sr-Cyrl-RS"/>
        </w:rPr>
        <w:t>18</w:t>
      </w:r>
      <w:r w:rsidR="00AD2D36" w:rsidRPr="00987676">
        <w:rPr>
          <w:rFonts w:ascii="Times New Roman" w:hAnsi="Times New Roman"/>
          <w:b/>
          <w:sz w:val="20"/>
          <w:lang w:val="sr-Cyrl-RS"/>
        </w:rPr>
        <w:t>.0</w:t>
      </w:r>
      <w:r w:rsidR="00D9164C" w:rsidRPr="00987676">
        <w:rPr>
          <w:rFonts w:ascii="Times New Roman" w:hAnsi="Times New Roman"/>
          <w:b/>
          <w:sz w:val="20"/>
          <w:lang w:val="sr-Cyrl-RS"/>
        </w:rPr>
        <w:t>9</w:t>
      </w:r>
      <w:r w:rsidR="00AD2D36" w:rsidRPr="00987676">
        <w:rPr>
          <w:rFonts w:ascii="Times New Roman" w:hAnsi="Times New Roman"/>
          <w:b/>
          <w:sz w:val="20"/>
          <w:lang w:val="sr-Cyrl-RS"/>
        </w:rPr>
        <w:t xml:space="preserve">.2020. </w:t>
      </w:r>
      <w:r w:rsidR="00C908D3" w:rsidRPr="00987676">
        <w:rPr>
          <w:rFonts w:ascii="Times New Roman" w:hAnsi="Times New Roman"/>
          <w:b/>
          <w:bCs/>
          <w:sz w:val="20"/>
          <w:lang w:val="sr-Cyrl-RS"/>
        </w:rPr>
        <w:t>године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д</w:t>
      </w:r>
      <w:r w:rsidR="008E19F4" w:rsidRPr="00987676">
        <w:rPr>
          <w:rFonts w:ascii="Times New Roman" w:hAnsi="Times New Roman"/>
          <w:sz w:val="20"/>
          <w:lang w:val="sr-Cyrl-RS"/>
        </w:rPr>
        <w:t>о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1</w:t>
      </w:r>
      <w:r w:rsidR="00F43224" w:rsidRPr="00987676">
        <w:rPr>
          <w:rFonts w:ascii="Times New Roman" w:hAnsi="Times New Roman"/>
          <w:sz w:val="20"/>
          <w:lang w:val="sr-Cyrl-RS"/>
        </w:rPr>
        <w:t>4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:00 </w:t>
      </w:r>
      <w:r w:rsidR="00442D0F" w:rsidRPr="00987676">
        <w:rPr>
          <w:rFonts w:ascii="Times New Roman" w:hAnsi="Times New Roman"/>
          <w:sz w:val="20"/>
          <w:lang w:val="sr-Cyrl-RS"/>
        </w:rPr>
        <w:t>часова</w:t>
      </w:r>
      <w:r w:rsidR="00266491" w:rsidRPr="00987676">
        <w:rPr>
          <w:rFonts w:ascii="Times New Roman" w:hAnsi="Times New Roman"/>
          <w:sz w:val="20"/>
          <w:lang w:val="sr-Cyrl-RS"/>
        </w:rPr>
        <w:t>,</w:t>
      </w:r>
      <w:r w:rsidR="00442D0F" w:rsidRPr="00987676">
        <w:rPr>
          <w:rFonts w:ascii="Times New Roman" w:hAnsi="Times New Roman"/>
          <w:sz w:val="20"/>
          <w:lang w:val="sr-Cyrl-RS"/>
        </w:rPr>
        <w:t xml:space="preserve"> по </w:t>
      </w:r>
      <w:r w:rsidR="008E19F4" w:rsidRPr="00987676">
        <w:rPr>
          <w:rFonts w:ascii="Times New Roman" w:hAnsi="Times New Roman"/>
          <w:sz w:val="20"/>
          <w:lang w:val="sr-Cyrl-RS"/>
        </w:rPr>
        <w:t>б</w:t>
      </w:r>
      <w:r w:rsidR="00442D0F" w:rsidRPr="00987676">
        <w:rPr>
          <w:rFonts w:ascii="Times New Roman" w:hAnsi="Times New Roman"/>
          <w:sz w:val="20"/>
          <w:lang w:val="sr-Cyrl-RS"/>
        </w:rPr>
        <w:t>еоградском времену</w:t>
      </w:r>
      <w:r w:rsidR="00C908D3" w:rsidRPr="00987676">
        <w:rPr>
          <w:rFonts w:ascii="Times New Roman" w:hAnsi="Times New Roman"/>
          <w:sz w:val="20"/>
          <w:lang w:val="sr-Cyrl-RS"/>
        </w:rPr>
        <w:t>. У обзир ће се узети само банкарске гаранције које пристигну на на</w:t>
      </w:r>
      <w:r w:rsidRPr="00987676">
        <w:rPr>
          <w:rFonts w:ascii="Times New Roman" w:hAnsi="Times New Roman"/>
          <w:sz w:val="20"/>
          <w:lang w:val="sr-Cyrl-RS"/>
        </w:rPr>
        <w:t>ведену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адресу </w:t>
      </w:r>
      <w:r w:rsidR="00FC0750" w:rsidRPr="00987676">
        <w:rPr>
          <w:rFonts w:ascii="Times New Roman" w:hAnsi="Times New Roman"/>
          <w:sz w:val="20"/>
          <w:lang w:val="sr-Cyrl-RS"/>
        </w:rPr>
        <w:t>до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назначено</w:t>
      </w:r>
      <w:r w:rsidR="00FC0750" w:rsidRPr="00987676">
        <w:rPr>
          <w:rFonts w:ascii="Times New Roman" w:hAnsi="Times New Roman"/>
          <w:sz w:val="20"/>
          <w:lang w:val="sr-Cyrl-RS"/>
        </w:rPr>
        <w:t>г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 време</w:t>
      </w:r>
      <w:r w:rsidR="00FC0750" w:rsidRPr="00987676">
        <w:rPr>
          <w:rFonts w:ascii="Times New Roman" w:hAnsi="Times New Roman"/>
          <w:sz w:val="20"/>
          <w:lang w:val="sr-Cyrl-RS"/>
        </w:rPr>
        <w:t>на</w:t>
      </w:r>
      <w:r w:rsidR="00C908D3" w:rsidRPr="00987676">
        <w:rPr>
          <w:rFonts w:ascii="Times New Roman" w:hAnsi="Times New Roman"/>
          <w:sz w:val="20"/>
          <w:lang w:val="sr-Cyrl-RS"/>
        </w:rPr>
        <w:t xml:space="preserve">. Банкарска гаранција мора имати рок важења </w:t>
      </w:r>
      <w:r w:rsidR="00C908D3" w:rsidRPr="00987676">
        <w:rPr>
          <w:rFonts w:ascii="Times New Roman" w:hAnsi="Times New Roman"/>
          <w:b/>
          <w:sz w:val="20"/>
          <w:lang w:val="sr-Cyrl-RS"/>
        </w:rPr>
        <w:t xml:space="preserve">до </w:t>
      </w:r>
      <w:r w:rsidR="00D9164C" w:rsidRPr="00987676">
        <w:rPr>
          <w:rFonts w:ascii="Times New Roman" w:hAnsi="Times New Roman"/>
          <w:b/>
          <w:sz w:val="20"/>
          <w:lang w:val="sr-Cyrl-RS"/>
        </w:rPr>
        <w:t>24</w:t>
      </w:r>
      <w:r w:rsidR="00A239BB" w:rsidRPr="00987676">
        <w:rPr>
          <w:rFonts w:ascii="Times New Roman" w:hAnsi="Times New Roman"/>
          <w:b/>
          <w:sz w:val="20"/>
          <w:lang w:val="sr-Cyrl-RS"/>
        </w:rPr>
        <w:t>.</w:t>
      </w:r>
      <w:r w:rsidR="00D9164C" w:rsidRPr="00987676">
        <w:rPr>
          <w:rFonts w:ascii="Times New Roman" w:hAnsi="Times New Roman"/>
          <w:b/>
          <w:sz w:val="20"/>
          <w:lang w:val="sr-Cyrl-RS"/>
        </w:rPr>
        <w:t>11</w:t>
      </w:r>
      <w:r w:rsidR="00AB16E6" w:rsidRPr="00987676">
        <w:rPr>
          <w:rFonts w:ascii="Times New Roman" w:hAnsi="Times New Roman"/>
          <w:b/>
          <w:sz w:val="20"/>
          <w:lang w:val="sr-Cyrl-RS"/>
        </w:rPr>
        <w:t>.20</w:t>
      </w:r>
      <w:r w:rsidR="0065222E" w:rsidRPr="00987676">
        <w:rPr>
          <w:rFonts w:ascii="Times New Roman" w:hAnsi="Times New Roman"/>
          <w:b/>
          <w:sz w:val="20"/>
          <w:lang w:val="sr-Cyrl-RS"/>
        </w:rPr>
        <w:t>20</w:t>
      </w:r>
      <w:r w:rsidR="00AB16E6" w:rsidRPr="00987676">
        <w:rPr>
          <w:rFonts w:ascii="Times New Roman" w:hAnsi="Times New Roman"/>
          <w:b/>
          <w:sz w:val="20"/>
          <w:lang w:val="sr-Cyrl-RS"/>
        </w:rPr>
        <w:t>.</w:t>
      </w:r>
      <w:r w:rsidR="00C908D3" w:rsidRPr="00987676">
        <w:rPr>
          <w:rFonts w:ascii="Times New Roman" w:hAnsi="Times New Roman"/>
          <w:b/>
          <w:sz w:val="20"/>
          <w:lang w:val="sr-Cyrl-RS"/>
        </w:rPr>
        <w:t xml:space="preserve"> године</w:t>
      </w:r>
      <w:r w:rsidR="00442D0F" w:rsidRPr="00987676">
        <w:rPr>
          <w:rFonts w:ascii="Times New Roman" w:hAnsi="Times New Roman"/>
          <w:b/>
          <w:sz w:val="20"/>
          <w:lang w:val="sr-Cyrl-RS"/>
        </w:rPr>
        <w:t>.</w:t>
      </w:r>
    </w:p>
    <w:p w14:paraId="3FB94F57" w14:textId="36432AC3" w:rsidR="00F857A9" w:rsidRPr="00987676" w:rsidRDefault="00B00FCB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u w:val="single"/>
          <w:lang w:val="sr-Cyrl-RS"/>
        </w:rPr>
        <w:t>П</w:t>
      </w:r>
      <w:r w:rsidR="00175D37" w:rsidRPr="00987676">
        <w:rPr>
          <w:rFonts w:ascii="Times New Roman" w:hAnsi="Times New Roman"/>
          <w:b/>
          <w:sz w:val="20"/>
          <w:u w:val="single"/>
          <w:lang w:val="sr-Cyrl-RS"/>
        </w:rPr>
        <w:t>отпишу изјаву о губитку права на враћање депозита</w:t>
      </w:r>
      <w:r w:rsidR="00175D37" w:rsidRPr="00987676">
        <w:rPr>
          <w:rFonts w:ascii="Times New Roman" w:hAnsi="Times New Roman"/>
          <w:sz w:val="20"/>
          <w:lang w:val="sr-Cyrl-RS"/>
        </w:rPr>
        <w:t>. Изјава чини саставни део продајне документације.</w:t>
      </w:r>
    </w:p>
    <w:p w14:paraId="3FE0773F" w14:textId="1E00F534" w:rsidR="006C548E" w:rsidRPr="00987676" w:rsidRDefault="00361E83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Имовина се </w:t>
      </w:r>
      <w:r w:rsidR="006C548E" w:rsidRPr="00987676">
        <w:rPr>
          <w:rFonts w:ascii="Times New Roman" w:hAnsi="Times New Roman"/>
          <w:sz w:val="20"/>
          <w:lang w:val="sr-Cyrl-RS"/>
        </w:rPr>
        <w:t>може разгледати</w:t>
      </w:r>
      <w:r w:rsidR="00C95F28" w:rsidRPr="00987676">
        <w:rPr>
          <w:rFonts w:ascii="Times New Roman" w:hAnsi="Times New Roman"/>
          <w:sz w:val="20"/>
          <w:lang w:val="sr-Cyrl-RS"/>
        </w:rPr>
        <w:t>,</w:t>
      </w:r>
      <w:r w:rsidR="006C548E" w:rsidRPr="00987676">
        <w:rPr>
          <w:rFonts w:ascii="Times New Roman" w:hAnsi="Times New Roman"/>
          <w:sz w:val="20"/>
          <w:lang w:val="sr-Cyrl-RS"/>
        </w:rPr>
        <w:t xml:space="preserve"> након откупа продајне документације, </w:t>
      </w:r>
      <w:r w:rsidR="00134F3C" w:rsidRPr="00987676">
        <w:rPr>
          <w:rFonts w:ascii="Times New Roman" w:hAnsi="Times New Roman"/>
          <w:sz w:val="20"/>
          <w:lang w:val="sr-Cyrl-RS"/>
        </w:rPr>
        <w:t xml:space="preserve">а најксаније </w:t>
      </w:r>
      <w:r w:rsidR="00D9164C" w:rsidRPr="00987676">
        <w:rPr>
          <w:rFonts w:ascii="Times New Roman" w:hAnsi="Times New Roman"/>
          <w:sz w:val="20"/>
          <w:lang w:val="sr-Cyrl-RS"/>
        </w:rPr>
        <w:t>3</w:t>
      </w:r>
      <w:r w:rsidR="00134F3C" w:rsidRPr="00987676">
        <w:rPr>
          <w:rFonts w:ascii="Times New Roman" w:hAnsi="Times New Roman"/>
          <w:sz w:val="20"/>
          <w:lang w:val="sr-Cyrl-RS"/>
        </w:rPr>
        <w:t xml:space="preserve"> дана пре заказане продаје </w:t>
      </w:r>
      <w:r w:rsidR="000D4671" w:rsidRPr="00987676">
        <w:rPr>
          <w:rFonts w:ascii="Times New Roman" w:hAnsi="Times New Roman"/>
          <w:sz w:val="20"/>
          <w:lang w:val="sr-Cyrl-RS"/>
        </w:rPr>
        <w:t xml:space="preserve">сваког радног дана </w:t>
      </w:r>
      <w:r w:rsidRPr="00987676">
        <w:rPr>
          <w:rFonts w:ascii="Times New Roman" w:hAnsi="Times New Roman"/>
          <w:sz w:val="20"/>
          <w:lang w:val="sr-Cyrl-RS"/>
        </w:rPr>
        <w:t xml:space="preserve"> у времену </w:t>
      </w:r>
      <w:r w:rsidR="006C548E" w:rsidRPr="00987676">
        <w:rPr>
          <w:rFonts w:ascii="Times New Roman" w:hAnsi="Times New Roman"/>
          <w:sz w:val="20"/>
          <w:lang w:val="sr-Cyrl-RS"/>
        </w:rPr>
        <w:t xml:space="preserve">од </w:t>
      </w:r>
      <w:r w:rsidR="006C548E" w:rsidRPr="00987676">
        <w:rPr>
          <w:rFonts w:ascii="Times New Roman" w:hAnsi="Times New Roman"/>
          <w:b/>
          <w:sz w:val="20"/>
          <w:lang w:val="sr-Cyrl-RS"/>
        </w:rPr>
        <w:t>10:00 до 15:00 часова</w:t>
      </w:r>
      <w:r w:rsidR="008B4221" w:rsidRPr="00987676">
        <w:rPr>
          <w:rFonts w:ascii="Times New Roman" w:hAnsi="Times New Roman"/>
          <w:b/>
          <w:sz w:val="20"/>
          <w:lang w:val="sr-Cyrl-RS"/>
        </w:rPr>
        <w:t>,</w:t>
      </w:r>
      <w:r w:rsidR="006C548E" w:rsidRPr="00987676">
        <w:rPr>
          <w:rFonts w:ascii="Times New Roman" w:hAnsi="Times New Roman"/>
          <w:sz w:val="20"/>
          <w:lang w:val="sr-Cyrl-RS"/>
        </w:rPr>
        <w:t xml:space="preserve"> уз </w:t>
      </w:r>
      <w:r w:rsidR="008B4221" w:rsidRPr="00987676">
        <w:rPr>
          <w:rFonts w:ascii="Times New Roman" w:hAnsi="Times New Roman"/>
          <w:sz w:val="20"/>
          <w:lang w:val="sr-Cyrl-RS"/>
        </w:rPr>
        <w:t xml:space="preserve">обавезну </w:t>
      </w:r>
      <w:r w:rsidR="006C548E" w:rsidRPr="00987676">
        <w:rPr>
          <w:rFonts w:ascii="Times New Roman" w:hAnsi="Times New Roman"/>
          <w:sz w:val="20"/>
          <w:lang w:val="sr-Cyrl-RS"/>
        </w:rPr>
        <w:t xml:space="preserve">претходну најаву </w:t>
      </w:r>
      <w:r w:rsidR="006F46ED" w:rsidRPr="00987676">
        <w:rPr>
          <w:rFonts w:ascii="Times New Roman" w:hAnsi="Times New Roman"/>
          <w:sz w:val="20"/>
          <w:lang w:val="sr-Cyrl-RS"/>
        </w:rPr>
        <w:t xml:space="preserve">на телефон број </w:t>
      </w:r>
      <w:r w:rsidRPr="00987676">
        <w:rPr>
          <w:rFonts w:ascii="Times New Roman" w:hAnsi="Times New Roman"/>
          <w:sz w:val="20"/>
          <w:lang w:val="sr-Cyrl-RS"/>
        </w:rPr>
        <w:t xml:space="preserve">+381 11 </w:t>
      </w:r>
      <w:r w:rsidR="0099019D" w:rsidRPr="00987676">
        <w:rPr>
          <w:rFonts w:ascii="Times New Roman" w:hAnsi="Times New Roman"/>
          <w:sz w:val="20"/>
          <w:lang w:val="sr-Cyrl-RS"/>
        </w:rPr>
        <w:t>398-</w:t>
      </w:r>
      <w:r w:rsidR="005D2AED" w:rsidRPr="00987676">
        <w:rPr>
          <w:rFonts w:ascii="Times New Roman" w:hAnsi="Times New Roman"/>
          <w:sz w:val="20"/>
          <w:lang w:val="sr-Cyrl-RS"/>
        </w:rPr>
        <w:t>8</w:t>
      </w:r>
      <w:r w:rsidR="0099019D" w:rsidRPr="00987676">
        <w:rPr>
          <w:rFonts w:ascii="Times New Roman" w:hAnsi="Times New Roman"/>
          <w:sz w:val="20"/>
          <w:lang w:val="sr-Cyrl-RS"/>
        </w:rPr>
        <w:t>4-18</w:t>
      </w:r>
      <w:r w:rsidR="008A5989" w:rsidRPr="00987676">
        <w:rPr>
          <w:rFonts w:ascii="Times New Roman" w:hAnsi="Times New Roman"/>
          <w:sz w:val="20"/>
          <w:lang w:val="sr-Cyrl-RS"/>
        </w:rPr>
        <w:t>.</w:t>
      </w:r>
    </w:p>
    <w:p w14:paraId="45D2333D" w14:textId="00098FB3" w:rsidR="008F459C" w:rsidRPr="00987676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Након уплате депозита, а најкасније до </w:t>
      </w:r>
      <w:r w:rsidR="00D9164C" w:rsidRPr="00987676">
        <w:rPr>
          <w:rFonts w:ascii="Times New Roman" w:hAnsi="Times New Roman"/>
          <w:b/>
          <w:sz w:val="20"/>
          <w:lang w:val="sr-Cyrl-RS"/>
        </w:rPr>
        <w:t>21</w:t>
      </w:r>
      <w:r w:rsidR="00AD2D36" w:rsidRPr="00987676">
        <w:rPr>
          <w:rFonts w:ascii="Times New Roman" w:hAnsi="Times New Roman"/>
          <w:b/>
          <w:sz w:val="20"/>
          <w:lang w:val="sr-Cyrl-RS"/>
        </w:rPr>
        <w:t>.0</w:t>
      </w:r>
      <w:r w:rsidR="00D9164C" w:rsidRPr="00987676">
        <w:rPr>
          <w:rFonts w:ascii="Times New Roman" w:hAnsi="Times New Roman"/>
          <w:b/>
          <w:sz w:val="20"/>
          <w:lang w:val="sr-Cyrl-RS"/>
        </w:rPr>
        <w:t>9</w:t>
      </w:r>
      <w:r w:rsidR="00AD2D36" w:rsidRPr="00987676">
        <w:rPr>
          <w:rFonts w:ascii="Times New Roman" w:hAnsi="Times New Roman"/>
          <w:b/>
          <w:sz w:val="20"/>
          <w:lang w:val="sr-Cyrl-RS"/>
        </w:rPr>
        <w:t xml:space="preserve">.2020. </w:t>
      </w:r>
      <w:r w:rsidRPr="00987676">
        <w:rPr>
          <w:rFonts w:ascii="Times New Roman" w:hAnsi="Times New Roman"/>
          <w:b/>
          <w:bCs/>
          <w:sz w:val="20"/>
          <w:lang w:val="sr-Cyrl-RS"/>
        </w:rPr>
        <w:t>године,</w:t>
      </w:r>
      <w:r w:rsidRPr="00987676">
        <w:rPr>
          <w:rFonts w:ascii="Times New Roman" w:hAnsi="Times New Roman"/>
          <w:sz w:val="20"/>
          <w:lang w:val="sr-Cyrl-RS"/>
        </w:rPr>
        <w:t xml:space="preserve"> потенцијални купци, ради правовремене евиденције, </w:t>
      </w:r>
      <w:r w:rsidRPr="00987676">
        <w:rPr>
          <w:rFonts w:ascii="Times New Roman" w:hAnsi="Times New Roman"/>
          <w:color w:val="000000"/>
          <w:sz w:val="20"/>
          <w:lang w:val="sr-Cyrl-RS"/>
        </w:rPr>
        <w:t>морају предати стечајном управнику на</w:t>
      </w:r>
      <w:r w:rsidRPr="00987676">
        <w:rPr>
          <w:rFonts w:ascii="Times New Roman" w:hAnsi="Times New Roman"/>
          <w:sz w:val="20"/>
          <w:lang w:val="sr-Cyrl-RS"/>
        </w:rPr>
        <w:t xml:space="preserve"> адресу </w:t>
      </w:r>
      <w:r w:rsidR="00460DC9" w:rsidRPr="00987676">
        <w:rPr>
          <w:rFonts w:ascii="Times New Roman" w:hAnsi="Times New Roman"/>
          <w:sz w:val="20"/>
          <w:lang w:val="sr-Cyrl-RS"/>
        </w:rPr>
        <w:t>стечајне масе</w:t>
      </w:r>
      <w:r w:rsidR="005624DC" w:rsidRPr="00987676">
        <w:rPr>
          <w:rFonts w:ascii="Times New Roman" w:hAnsi="Times New Roman"/>
          <w:sz w:val="20"/>
          <w:lang w:val="sr-Cyrl-RS"/>
        </w:rPr>
        <w:t xml:space="preserve"> -</w:t>
      </w:r>
      <w:r w:rsidR="00460DC9" w:rsidRPr="00987676">
        <w:rPr>
          <w:rFonts w:ascii="Times New Roman" w:hAnsi="Times New Roman"/>
          <w:sz w:val="20"/>
          <w:lang w:val="sr-Cyrl-RS"/>
        </w:rPr>
        <w:t xml:space="preserve"> </w:t>
      </w:r>
      <w:r w:rsidRPr="00987676">
        <w:rPr>
          <w:rFonts w:ascii="Times New Roman" w:hAnsi="Times New Roman"/>
          <w:sz w:val="20"/>
          <w:lang w:val="sr-Cyrl-RS"/>
        </w:rPr>
        <w:t xml:space="preserve">Београд, </w:t>
      </w:r>
      <w:r w:rsidR="0099019D" w:rsidRPr="00987676">
        <w:rPr>
          <w:rFonts w:ascii="Times New Roman" w:hAnsi="Times New Roman"/>
          <w:sz w:val="20"/>
          <w:lang w:val="sr-Cyrl-RS"/>
        </w:rPr>
        <w:t>Баба Вишњина бр. 26</w:t>
      </w:r>
      <w:r w:rsidR="005624DC" w:rsidRPr="00987676">
        <w:rPr>
          <w:rFonts w:ascii="Times New Roman" w:hAnsi="Times New Roman"/>
          <w:sz w:val="20"/>
          <w:lang w:val="sr-Cyrl-RS"/>
        </w:rPr>
        <w:t>:</w:t>
      </w:r>
      <w:r w:rsidRPr="00987676">
        <w:rPr>
          <w:rFonts w:ascii="Times New Roman" w:hAnsi="Times New Roman"/>
          <w:color w:val="000000"/>
          <w:sz w:val="20"/>
          <w:lang w:val="sr-Cyrl-RS"/>
        </w:rPr>
        <w:t xml:space="preserve"> попуњен образац пријаве за учешће на јавном надметању, </w:t>
      </w:r>
      <w:r w:rsidRPr="00987676">
        <w:rPr>
          <w:rFonts w:ascii="Times New Roman" w:hAnsi="Times New Roman"/>
          <w:sz w:val="20"/>
          <w:lang w:val="sr-Cyrl-RS"/>
        </w:rPr>
        <w:t>доказ о уплати депозита или копију банкарске гаранције</w:t>
      </w:r>
      <w:r w:rsidRPr="00987676">
        <w:rPr>
          <w:rFonts w:ascii="Times New Roman" w:hAnsi="Times New Roman"/>
          <w:color w:val="000000"/>
          <w:sz w:val="20"/>
          <w:lang w:val="sr-Cyrl-RS"/>
        </w:rPr>
        <w:t xml:space="preserve">, потписану изјаву о губитку права на повраћај депозита, извод </w:t>
      </w:r>
      <w:r w:rsidR="00460DC9" w:rsidRPr="00987676">
        <w:rPr>
          <w:rFonts w:ascii="Times New Roman" w:hAnsi="Times New Roman"/>
          <w:color w:val="000000"/>
          <w:sz w:val="20"/>
          <w:lang w:val="sr-Cyrl-RS"/>
        </w:rPr>
        <w:t xml:space="preserve">или решење </w:t>
      </w:r>
      <w:r w:rsidRPr="00987676">
        <w:rPr>
          <w:rFonts w:ascii="Times New Roman" w:hAnsi="Times New Roman"/>
          <w:color w:val="000000"/>
          <w:sz w:val="20"/>
          <w:lang w:val="sr-Cyrl-RS"/>
        </w:rPr>
        <w:t>из регистра привредних субјеката</w:t>
      </w:r>
      <w:r w:rsidR="00460DC9" w:rsidRPr="00987676">
        <w:rPr>
          <w:rFonts w:ascii="Times New Roman" w:hAnsi="Times New Roman"/>
          <w:color w:val="000000"/>
          <w:sz w:val="20"/>
          <w:lang w:val="sr-Cyrl-RS"/>
        </w:rPr>
        <w:t xml:space="preserve"> не старије од 3 месеца</w:t>
      </w:r>
      <w:r w:rsidRPr="00987676">
        <w:rPr>
          <w:rFonts w:ascii="Times New Roman" w:hAnsi="Times New Roman"/>
          <w:color w:val="000000"/>
          <w:sz w:val="20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987676">
        <w:rPr>
          <w:rFonts w:ascii="Times New Roman" w:hAnsi="Times New Roman"/>
          <w:color w:val="000000"/>
          <w:sz w:val="20"/>
          <w:lang w:val="sr-Cyrl-RS"/>
        </w:rPr>
        <w:t>очитана лична карта</w:t>
      </w:r>
      <w:r w:rsidR="00641582" w:rsidRPr="00987676">
        <w:rPr>
          <w:rFonts w:ascii="Times New Roman" w:hAnsi="Times New Roman"/>
          <w:color w:val="000000"/>
          <w:sz w:val="20"/>
          <w:lang w:val="sr-Cyrl-RS"/>
        </w:rPr>
        <w:t xml:space="preserve"> или </w:t>
      </w:r>
      <w:r w:rsidR="005D2AED" w:rsidRPr="00987676">
        <w:rPr>
          <w:rFonts w:ascii="Times New Roman" w:hAnsi="Times New Roman"/>
          <w:color w:val="000000"/>
          <w:sz w:val="20"/>
          <w:lang w:val="sr-Cyrl-RS"/>
        </w:rPr>
        <w:t>копија личне карте</w:t>
      </w:r>
      <w:r w:rsidR="00641582" w:rsidRPr="00987676">
        <w:rPr>
          <w:rFonts w:ascii="Times New Roman" w:hAnsi="Times New Roman"/>
          <w:color w:val="000000"/>
          <w:sz w:val="20"/>
          <w:lang w:val="sr-Cyrl-RS"/>
        </w:rPr>
        <w:t xml:space="preserve"> или пасоша</w:t>
      </w:r>
      <w:r w:rsidR="005D2AED" w:rsidRPr="00987676">
        <w:rPr>
          <w:rFonts w:ascii="Times New Roman" w:hAnsi="Times New Roman"/>
          <w:color w:val="000000"/>
          <w:sz w:val="20"/>
          <w:lang w:val="sr-Cyrl-RS"/>
        </w:rPr>
        <w:t xml:space="preserve"> </w:t>
      </w:r>
      <w:r w:rsidR="00641582" w:rsidRPr="00987676">
        <w:rPr>
          <w:rFonts w:ascii="Times New Roman" w:hAnsi="Times New Roman"/>
          <w:color w:val="000000"/>
          <w:sz w:val="20"/>
          <w:lang w:val="sr-Cyrl-RS"/>
        </w:rPr>
        <w:t xml:space="preserve">(ако се као потенцијални купац пријављује физичко, домаће или страно лице), </w:t>
      </w:r>
      <w:r w:rsidRPr="00987676">
        <w:rPr>
          <w:rFonts w:ascii="Times New Roman" w:hAnsi="Times New Roman"/>
          <w:color w:val="000000"/>
          <w:sz w:val="20"/>
          <w:lang w:val="sr-Cyrl-RS"/>
        </w:rPr>
        <w:t xml:space="preserve">овлашћење за заступање оверено код јавног бележника уколико јавном надметању не присуствује потенцијални купац лично (за физичка лица) или законски заступник (за правна лица). </w:t>
      </w:r>
    </w:p>
    <w:p w14:paraId="07F86F5A" w14:textId="40CC28C0" w:rsidR="008F459C" w:rsidRPr="00987676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 xml:space="preserve">Јавно надметање ће се одржати дана </w:t>
      </w:r>
      <w:r w:rsidR="009D7D9B" w:rsidRPr="00987676">
        <w:rPr>
          <w:rFonts w:ascii="Times New Roman" w:hAnsi="Times New Roman"/>
          <w:b/>
          <w:sz w:val="20"/>
          <w:lang w:val="sr-Cyrl-RS"/>
        </w:rPr>
        <w:t>24</w:t>
      </w:r>
      <w:r w:rsidR="00AD2D36" w:rsidRPr="00987676">
        <w:rPr>
          <w:rFonts w:ascii="Times New Roman" w:hAnsi="Times New Roman"/>
          <w:b/>
          <w:sz w:val="20"/>
          <w:lang w:val="sr-Cyrl-RS"/>
        </w:rPr>
        <w:t>.0</w:t>
      </w:r>
      <w:r w:rsidR="009D7D9B" w:rsidRPr="00987676">
        <w:rPr>
          <w:rFonts w:ascii="Times New Roman" w:hAnsi="Times New Roman"/>
          <w:b/>
          <w:sz w:val="20"/>
          <w:lang w:val="sr-Cyrl-RS"/>
        </w:rPr>
        <w:t>9</w:t>
      </w:r>
      <w:r w:rsidR="00AD2D36" w:rsidRPr="00987676">
        <w:rPr>
          <w:rFonts w:ascii="Times New Roman" w:hAnsi="Times New Roman"/>
          <w:b/>
          <w:sz w:val="20"/>
          <w:lang w:val="sr-Cyrl-RS"/>
        </w:rPr>
        <w:t xml:space="preserve">.2020. </w:t>
      </w:r>
      <w:r w:rsidRPr="00987676">
        <w:rPr>
          <w:rFonts w:ascii="Times New Roman" w:hAnsi="Times New Roman"/>
          <w:b/>
          <w:sz w:val="20"/>
          <w:lang w:val="sr-Cyrl-RS"/>
        </w:rPr>
        <w:t>год</w:t>
      </w:r>
      <w:r w:rsidR="00460DC9" w:rsidRPr="00987676">
        <w:rPr>
          <w:rFonts w:ascii="Times New Roman" w:hAnsi="Times New Roman"/>
          <w:b/>
          <w:sz w:val="20"/>
          <w:lang w:val="sr-Cyrl-RS"/>
        </w:rPr>
        <w:t>ине</w:t>
      </w:r>
      <w:r w:rsidRPr="00987676">
        <w:rPr>
          <w:rFonts w:ascii="Times New Roman" w:hAnsi="Times New Roman"/>
          <w:b/>
          <w:sz w:val="20"/>
          <w:lang w:val="sr-Cyrl-RS"/>
        </w:rPr>
        <w:t xml:space="preserve"> у 12</w:t>
      </w:r>
      <w:r w:rsidR="00B00FCB"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Pr="00987676">
        <w:rPr>
          <w:rFonts w:ascii="Times New Roman" w:hAnsi="Times New Roman"/>
          <w:b/>
          <w:sz w:val="20"/>
          <w:lang w:val="sr-Cyrl-RS"/>
        </w:rPr>
        <w:t>часова на адреси</w:t>
      </w:r>
      <w:r w:rsidR="00460DC9" w:rsidRPr="00987676">
        <w:rPr>
          <w:rFonts w:ascii="Times New Roman" w:hAnsi="Times New Roman"/>
          <w:b/>
          <w:sz w:val="20"/>
          <w:lang w:val="sr-Cyrl-RS"/>
        </w:rPr>
        <w:t>:</w:t>
      </w:r>
      <w:r w:rsidRPr="00987676">
        <w:rPr>
          <w:rFonts w:ascii="Times New Roman" w:hAnsi="Times New Roman"/>
          <w:b/>
          <w:sz w:val="20"/>
          <w:lang w:val="sr-Cyrl-RS"/>
        </w:rPr>
        <w:t xml:space="preserve"> </w:t>
      </w:r>
      <w:r w:rsidR="009D7D9B" w:rsidRPr="00987676">
        <w:rPr>
          <w:rFonts w:ascii="Times New Roman" w:hAnsi="Times New Roman"/>
          <w:b/>
          <w:sz w:val="20"/>
          <w:lang w:val="sr-Cyrl-RS"/>
        </w:rPr>
        <w:t>ул. Баба Вишнина бр. 26</w:t>
      </w:r>
      <w:r w:rsidRPr="00987676">
        <w:rPr>
          <w:rFonts w:ascii="Times New Roman" w:hAnsi="Times New Roman"/>
          <w:b/>
          <w:sz w:val="20"/>
          <w:lang w:val="sr-Cyrl-RS"/>
        </w:rPr>
        <w:t>, Београд, у присуству комисије формиране одлуком стечајног управника.</w:t>
      </w:r>
    </w:p>
    <w:p w14:paraId="5262F00C" w14:textId="195FFE22" w:rsidR="008F459C" w:rsidRPr="00987676" w:rsidRDefault="008F459C" w:rsidP="00B9796F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lastRenderedPageBreak/>
        <w:t xml:space="preserve">Регистрација учесника почиње </w:t>
      </w:r>
      <w:r w:rsidR="009D7D9B" w:rsidRPr="00987676">
        <w:rPr>
          <w:rFonts w:ascii="Times New Roman" w:hAnsi="Times New Roman"/>
          <w:b/>
          <w:sz w:val="20"/>
          <w:lang w:val="sr-Cyrl-RS"/>
        </w:rPr>
        <w:t>24</w:t>
      </w:r>
      <w:r w:rsidR="002D255B" w:rsidRPr="00987676">
        <w:rPr>
          <w:rFonts w:ascii="Times New Roman" w:hAnsi="Times New Roman"/>
          <w:b/>
          <w:sz w:val="20"/>
          <w:lang w:val="sr-Cyrl-RS"/>
        </w:rPr>
        <w:t>.0</w:t>
      </w:r>
      <w:r w:rsidR="009D7D9B" w:rsidRPr="00987676">
        <w:rPr>
          <w:rFonts w:ascii="Times New Roman" w:hAnsi="Times New Roman"/>
          <w:b/>
          <w:sz w:val="20"/>
          <w:lang w:val="sr-Cyrl-RS"/>
        </w:rPr>
        <w:t>9</w:t>
      </w:r>
      <w:r w:rsidR="002D255B" w:rsidRPr="00987676">
        <w:rPr>
          <w:rFonts w:ascii="Times New Roman" w:hAnsi="Times New Roman"/>
          <w:b/>
          <w:sz w:val="20"/>
          <w:lang w:val="sr-Cyrl-RS"/>
        </w:rPr>
        <w:t xml:space="preserve">.2020. </w:t>
      </w:r>
      <w:r w:rsidRPr="00987676">
        <w:rPr>
          <w:rFonts w:ascii="Times New Roman" w:hAnsi="Times New Roman"/>
          <w:b/>
          <w:sz w:val="20"/>
          <w:lang w:val="sr-Cyrl-RS"/>
        </w:rPr>
        <w:t>г</w:t>
      </w:r>
      <w:r w:rsidR="00460DC9" w:rsidRPr="00987676">
        <w:rPr>
          <w:rFonts w:ascii="Times New Roman" w:hAnsi="Times New Roman"/>
          <w:b/>
          <w:sz w:val="20"/>
          <w:lang w:val="sr-Cyrl-RS"/>
        </w:rPr>
        <w:t>одине</w:t>
      </w:r>
      <w:r w:rsidRPr="00987676">
        <w:rPr>
          <w:rFonts w:ascii="Times New Roman" w:hAnsi="Times New Roman"/>
          <w:sz w:val="20"/>
          <w:lang w:val="sr-Cyrl-RS"/>
        </w:rPr>
        <w:t xml:space="preserve"> у </w:t>
      </w:r>
      <w:r w:rsidRPr="00987676">
        <w:rPr>
          <w:rFonts w:ascii="Times New Roman" w:hAnsi="Times New Roman"/>
          <w:b/>
          <w:bCs/>
          <w:sz w:val="20"/>
          <w:lang w:val="sr-Cyrl-RS"/>
        </w:rPr>
        <w:t>10 часова</w:t>
      </w:r>
      <w:r w:rsidRPr="00987676">
        <w:rPr>
          <w:rFonts w:ascii="Times New Roman" w:hAnsi="Times New Roman"/>
          <w:sz w:val="20"/>
          <w:lang w:val="sr-Cyrl-RS"/>
        </w:rPr>
        <w:t xml:space="preserve">, а завршава се у </w:t>
      </w:r>
      <w:r w:rsidRPr="00987676">
        <w:rPr>
          <w:rFonts w:ascii="Times New Roman" w:hAnsi="Times New Roman"/>
          <w:b/>
          <w:bCs/>
          <w:sz w:val="20"/>
          <w:lang w:val="sr-Cyrl-RS"/>
        </w:rPr>
        <w:t xml:space="preserve">11 часова и </w:t>
      </w:r>
      <w:r w:rsidR="00BF22F6" w:rsidRPr="00987676">
        <w:rPr>
          <w:rFonts w:ascii="Times New Roman" w:hAnsi="Times New Roman"/>
          <w:b/>
          <w:bCs/>
          <w:sz w:val="20"/>
          <w:lang w:val="sr-Cyrl-RS"/>
        </w:rPr>
        <w:t>50</w:t>
      </w:r>
      <w:r w:rsidRPr="00987676">
        <w:rPr>
          <w:rFonts w:ascii="Times New Roman" w:hAnsi="Times New Roman"/>
          <w:b/>
          <w:bCs/>
          <w:sz w:val="20"/>
          <w:lang w:val="sr-Cyrl-RS"/>
        </w:rPr>
        <w:t xml:space="preserve"> минута</w:t>
      </w:r>
      <w:r w:rsidRPr="00987676">
        <w:rPr>
          <w:rFonts w:ascii="Times New Roman" w:hAnsi="Times New Roman"/>
          <w:sz w:val="20"/>
          <w:lang w:val="sr-Cyrl-RS"/>
        </w:rPr>
        <w:t xml:space="preserve">. </w:t>
      </w:r>
    </w:p>
    <w:p w14:paraId="388C1BED" w14:textId="1905F48E" w:rsidR="008F459C" w:rsidRPr="00987676" w:rsidRDefault="008F459C" w:rsidP="00B9796F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Стечајни управник спроводи јавно надметање тако што:</w:t>
      </w:r>
    </w:p>
    <w:p w14:paraId="7218206C" w14:textId="53BBE8A6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региструје лица која имају право учешћа на јавном надметању;</w:t>
      </w:r>
    </w:p>
    <w:p w14:paraId="22A0BA75" w14:textId="77777777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отвара јавно надметање читајући правила надметања;</w:t>
      </w:r>
    </w:p>
    <w:p w14:paraId="0B1DF1A6" w14:textId="794B2205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 xml:space="preserve">позива учеснике да </w:t>
      </w:r>
      <w:r w:rsidR="00D1190B" w:rsidRPr="00987676">
        <w:rPr>
          <w:rFonts w:ascii="Times New Roman" w:hAnsi="Times New Roman"/>
          <w:bCs/>
          <w:sz w:val="20"/>
          <w:lang w:val="sr-Cyrl-RS"/>
        </w:rPr>
        <w:t>прихвате понуђену цену према унапред утврђеним корацима увећања, при чему апсолутни износ увећања не може бити већи од износа депозита;</w:t>
      </w:r>
    </w:p>
    <w:p w14:paraId="16CC2A4D" w14:textId="77777777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одржава ред на јавном надметању;</w:t>
      </w:r>
    </w:p>
    <w:p w14:paraId="317F79E8" w14:textId="2CEA1F71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 xml:space="preserve">проглашава </w:t>
      </w:r>
      <w:r w:rsidR="00491EBD" w:rsidRPr="00987676">
        <w:rPr>
          <w:rFonts w:ascii="Times New Roman" w:hAnsi="Times New Roman"/>
          <w:bCs/>
          <w:sz w:val="20"/>
          <w:lang w:val="sr-Cyrl-RS"/>
        </w:rPr>
        <w:t>к</w:t>
      </w:r>
      <w:r w:rsidRPr="00987676">
        <w:rPr>
          <w:rFonts w:ascii="Times New Roman" w:hAnsi="Times New Roman"/>
          <w:bCs/>
          <w:sz w:val="20"/>
          <w:lang w:val="sr-Cyrl-RS"/>
        </w:rPr>
        <w:t xml:space="preserve">упца </w:t>
      </w:r>
      <w:r w:rsidR="00D1190B" w:rsidRPr="00987676">
        <w:rPr>
          <w:rFonts w:ascii="Times New Roman" w:hAnsi="Times New Roman"/>
          <w:bCs/>
          <w:sz w:val="20"/>
          <w:lang w:val="sr-Cyrl-RS"/>
        </w:rPr>
        <w:t>учесника који је прихватио највишу понуђену цену</w:t>
      </w:r>
      <w:r w:rsidR="00491EBD" w:rsidRPr="00987676">
        <w:rPr>
          <w:rFonts w:ascii="Times New Roman" w:hAnsi="Times New Roman"/>
          <w:bCs/>
          <w:sz w:val="20"/>
          <w:lang w:val="sr-Cyrl-RS"/>
        </w:rPr>
        <w:t>;</w:t>
      </w:r>
    </w:p>
    <w:p w14:paraId="02747A06" w14:textId="6A91F769" w:rsidR="008F459C" w:rsidRPr="00987676" w:rsidRDefault="008F459C" w:rsidP="009D7D9B">
      <w:pPr>
        <w:numPr>
          <w:ilvl w:val="0"/>
          <w:numId w:val="9"/>
        </w:numPr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потписује записник.</w:t>
      </w:r>
    </w:p>
    <w:p w14:paraId="1750EB11" w14:textId="19ECC9CE" w:rsidR="00D1190B" w:rsidRPr="00987676" w:rsidRDefault="00D1190B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У време које је одређено као време почетка јавног надметања, стечајни управник отвара јавно надметање и:</w:t>
      </w:r>
    </w:p>
    <w:p w14:paraId="74EA9E6F" w14:textId="574A82CE" w:rsidR="00D1190B" w:rsidRPr="00987676" w:rsidRDefault="00D1190B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оглашава имовину која се нуди на продају;</w:t>
      </w:r>
    </w:p>
    <w:p w14:paraId="46BF6C8F" w14:textId="59F6B302" w:rsidR="00D1190B" w:rsidRPr="00987676" w:rsidRDefault="00D647F8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оглашава почетну цену и објашњава даљи поступак спровођења јавног надметања;</w:t>
      </w:r>
    </w:p>
    <w:p w14:paraId="1E897067" w14:textId="049DF402" w:rsidR="00D647F8" w:rsidRPr="00987676" w:rsidRDefault="00D647F8" w:rsidP="009D7D9B">
      <w:pPr>
        <w:pStyle w:val="ListParagraph"/>
        <w:numPr>
          <w:ilvl w:val="3"/>
          <w:numId w:val="12"/>
        </w:numPr>
        <w:ind w:left="709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позива учеснике да траже објашњење у вези са имовином која је предмет продаје, почетне цене, као и даљег поступка пре отпочињања јавног надметања.</w:t>
      </w:r>
    </w:p>
    <w:p w14:paraId="64F661D8" w14:textId="077FDB94" w:rsidR="008F459C" w:rsidRPr="00987676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Купопродајни уговор се потписује у року од 3 радна дана од дана одржавања јавног надметања, под условом да је депозит</w:t>
      </w:r>
      <w:r w:rsidR="005624DC" w:rsidRPr="00987676">
        <w:rPr>
          <w:rFonts w:ascii="Times New Roman" w:hAnsi="Times New Roman"/>
          <w:sz w:val="20"/>
          <w:lang w:val="sr-Cyrl-RS"/>
        </w:rPr>
        <w:t>,</w:t>
      </w:r>
      <w:r w:rsidRPr="00987676">
        <w:rPr>
          <w:rFonts w:ascii="Times New Roman" w:hAnsi="Times New Roman"/>
          <w:sz w:val="20"/>
          <w:lang w:val="sr-Cyrl-RS"/>
        </w:rPr>
        <w:t xml:space="preserve"> који је обезбеђен гаранцијом</w:t>
      </w:r>
      <w:r w:rsidR="005624DC" w:rsidRPr="00987676">
        <w:rPr>
          <w:rFonts w:ascii="Times New Roman" w:hAnsi="Times New Roman"/>
          <w:sz w:val="20"/>
          <w:lang w:val="sr-Cyrl-RS"/>
        </w:rPr>
        <w:t>,</w:t>
      </w:r>
      <w:r w:rsidRPr="00987676">
        <w:rPr>
          <w:rFonts w:ascii="Times New Roman" w:hAnsi="Times New Roman"/>
          <w:sz w:val="20"/>
          <w:lang w:val="sr-Cyrl-RS"/>
        </w:rPr>
        <w:t xml:space="preserve"> уплаћен на рачун стечајног дужника. </w:t>
      </w:r>
    </w:p>
    <w:p w14:paraId="1E045B7B" w14:textId="7799C974" w:rsidR="008F459C" w:rsidRPr="00987676" w:rsidRDefault="008F459C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Проглашени Купац је дужан да уплати преостали износ купопродајне цене у року од </w:t>
      </w:r>
      <w:r w:rsidR="00DC6635" w:rsidRPr="00987676">
        <w:rPr>
          <w:rFonts w:ascii="Times New Roman" w:hAnsi="Times New Roman"/>
          <w:sz w:val="20"/>
          <w:lang w:val="sr-Cyrl-RS"/>
        </w:rPr>
        <w:t>8</w:t>
      </w:r>
      <w:r w:rsidRPr="00987676">
        <w:rPr>
          <w:rFonts w:ascii="Times New Roman" w:hAnsi="Times New Roman"/>
          <w:sz w:val="20"/>
          <w:lang w:val="sr-Cyrl-RS"/>
        </w:rPr>
        <w:t xml:space="preserve"> дана од дана потписивања купопродајног уговора. </w:t>
      </w:r>
      <w:r w:rsidR="00AD36AF" w:rsidRPr="00987676">
        <w:rPr>
          <w:rFonts w:ascii="Times New Roman" w:hAnsi="Times New Roman"/>
          <w:sz w:val="20"/>
          <w:lang w:val="sr-Cyrl-RS"/>
        </w:rPr>
        <w:t>Тек н</w:t>
      </w:r>
      <w:r w:rsidRPr="00987676">
        <w:rPr>
          <w:rFonts w:ascii="Times New Roman" w:hAnsi="Times New Roman"/>
          <w:sz w:val="20"/>
          <w:lang w:val="sr-Cyrl-RS"/>
        </w:rPr>
        <w:t>акон уплате купопродајне цене од стране Купца</w:t>
      </w:r>
      <w:r w:rsidR="00AD36AF" w:rsidRPr="00987676">
        <w:rPr>
          <w:rFonts w:ascii="Times New Roman" w:hAnsi="Times New Roman"/>
          <w:sz w:val="20"/>
          <w:lang w:val="sr-Cyrl-RS"/>
        </w:rPr>
        <w:t xml:space="preserve"> и након </w:t>
      </w:r>
      <w:r w:rsidRPr="00987676">
        <w:rPr>
          <w:rFonts w:ascii="Times New Roman" w:hAnsi="Times New Roman"/>
          <w:sz w:val="20"/>
          <w:lang w:val="sr-Cyrl-RS"/>
        </w:rPr>
        <w:t>добијањ</w:t>
      </w:r>
      <w:r w:rsidR="00AD36AF" w:rsidRPr="00987676">
        <w:rPr>
          <w:rFonts w:ascii="Times New Roman" w:hAnsi="Times New Roman"/>
          <w:sz w:val="20"/>
          <w:lang w:val="sr-Cyrl-RS"/>
        </w:rPr>
        <w:t>а</w:t>
      </w:r>
      <w:r w:rsidRPr="00987676">
        <w:rPr>
          <w:rFonts w:ascii="Times New Roman" w:hAnsi="Times New Roman"/>
          <w:sz w:val="20"/>
          <w:lang w:val="sr-Cyrl-RS"/>
        </w:rPr>
        <w:t xml:space="preserve"> потврде од стране </w:t>
      </w:r>
      <w:r w:rsidR="00460DC9" w:rsidRPr="00987676">
        <w:rPr>
          <w:rFonts w:ascii="Times New Roman" w:hAnsi="Times New Roman"/>
          <w:sz w:val="20"/>
          <w:lang w:val="sr-Cyrl-RS"/>
        </w:rPr>
        <w:t>стечајн</w:t>
      </w:r>
      <w:r w:rsidR="00D647F8" w:rsidRPr="00987676">
        <w:rPr>
          <w:rFonts w:ascii="Times New Roman" w:hAnsi="Times New Roman"/>
          <w:sz w:val="20"/>
          <w:lang w:val="sr-Cyrl-RS"/>
        </w:rPr>
        <w:t>ог</w:t>
      </w:r>
      <w:r w:rsidR="00460DC9" w:rsidRPr="00987676">
        <w:rPr>
          <w:rFonts w:ascii="Times New Roman" w:hAnsi="Times New Roman"/>
          <w:sz w:val="20"/>
          <w:lang w:val="sr-Cyrl-RS"/>
        </w:rPr>
        <w:t xml:space="preserve"> </w:t>
      </w:r>
      <w:r w:rsidR="00D647F8" w:rsidRPr="00987676">
        <w:rPr>
          <w:rFonts w:ascii="Times New Roman" w:hAnsi="Times New Roman"/>
          <w:sz w:val="20"/>
          <w:lang w:val="sr-Cyrl-RS"/>
        </w:rPr>
        <w:t>дужника</w:t>
      </w:r>
      <w:r w:rsidR="00AD36AF" w:rsidRPr="00987676">
        <w:rPr>
          <w:rFonts w:ascii="Times New Roman" w:hAnsi="Times New Roman"/>
          <w:sz w:val="20"/>
          <w:lang w:val="sr-Cyrl-RS"/>
        </w:rPr>
        <w:t xml:space="preserve"> </w:t>
      </w:r>
      <w:r w:rsidRPr="00987676">
        <w:rPr>
          <w:rFonts w:ascii="Times New Roman" w:hAnsi="Times New Roman"/>
          <w:sz w:val="20"/>
          <w:lang w:val="sr-Cyrl-RS"/>
        </w:rPr>
        <w:t>о извршеној уплати у целости и по доношењу решења стечајног судије</w:t>
      </w:r>
      <w:r w:rsidR="00B71C41" w:rsidRPr="00987676">
        <w:rPr>
          <w:rFonts w:ascii="Times New Roman" w:hAnsi="Times New Roman"/>
          <w:sz w:val="20"/>
          <w:lang w:val="sr-Cyrl-RS"/>
        </w:rPr>
        <w:t>,</w:t>
      </w:r>
      <w:r w:rsidRPr="00987676">
        <w:rPr>
          <w:rFonts w:ascii="Times New Roman" w:hAnsi="Times New Roman"/>
          <w:sz w:val="20"/>
          <w:lang w:val="sr-Cyrl-RS"/>
        </w:rPr>
        <w:t xml:space="preserve"> којим се констатује продаја, купац стиче право на укњижбу власништва на непокретностима</w:t>
      </w:r>
      <w:r w:rsidR="00460DC9" w:rsidRPr="00987676">
        <w:rPr>
          <w:rFonts w:ascii="Times New Roman" w:hAnsi="Times New Roman"/>
          <w:sz w:val="20"/>
          <w:lang w:val="sr-Cyrl-RS"/>
        </w:rPr>
        <w:t>.</w:t>
      </w:r>
    </w:p>
    <w:p w14:paraId="15F5E6EE" w14:textId="69305C83" w:rsidR="002570F6" w:rsidRPr="00987676" w:rsidRDefault="00D647F8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Подносилац</w:t>
      </w:r>
      <w:r w:rsidR="002570F6" w:rsidRPr="00987676">
        <w:rPr>
          <w:rFonts w:ascii="Times New Roman" w:hAnsi="Times New Roman"/>
          <w:sz w:val="20"/>
          <w:lang w:val="sr-Cyrl-RS"/>
        </w:rPr>
        <w:t xml:space="preserve"> депозита</w:t>
      </w:r>
      <w:r w:rsidRPr="00987676">
        <w:rPr>
          <w:rFonts w:ascii="Times New Roman" w:hAnsi="Times New Roman"/>
          <w:sz w:val="20"/>
          <w:lang w:val="sr-Cyrl-RS"/>
        </w:rPr>
        <w:t xml:space="preserve"> губи право на повраћај депозита уколико:</w:t>
      </w:r>
    </w:p>
    <w:p w14:paraId="32E31C6B" w14:textId="6BDE34D5" w:rsidR="002570F6" w:rsidRPr="00987676" w:rsidRDefault="002570F6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се </w:t>
      </w:r>
      <w:r w:rsidR="00D647F8" w:rsidRPr="00987676">
        <w:rPr>
          <w:rFonts w:ascii="Times New Roman" w:hAnsi="Times New Roman"/>
          <w:sz w:val="20"/>
          <w:lang w:val="sr-Cyrl-RS"/>
        </w:rPr>
        <w:t>не региструје, или</w:t>
      </w:r>
    </w:p>
    <w:p w14:paraId="4DC5F589" w14:textId="62A3942E" w:rsidR="002570F6" w:rsidRPr="00987676" w:rsidRDefault="00D647F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не приступи продаји, или</w:t>
      </w:r>
    </w:p>
    <w:p w14:paraId="3E69593E" w14:textId="0B7B0028" w:rsidR="002570F6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као једини учесник на надметању не прихвати почетну цену, или ако нико од учесника јавног надметања не прихвати почетну цену, или</w:t>
      </w:r>
    </w:p>
    <w:p w14:paraId="6A917C82" w14:textId="6EDCBCBC" w:rsidR="002570F6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не потпише записник о јавном надметању, или</w:t>
      </w:r>
    </w:p>
    <w:p w14:paraId="254168FE" w14:textId="59B4D353" w:rsidR="00914698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као проглашени купац не закључи купопродајни уговор у прописаном року или по прописаној процедури, или</w:t>
      </w:r>
    </w:p>
    <w:p w14:paraId="091BF3B1" w14:textId="3DDE750B" w:rsidR="00914698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као проглашени купац не уплати купопродајну цену у назначеном року, или</w:t>
      </w:r>
    </w:p>
    <w:p w14:paraId="1A3D0735" w14:textId="7B4A203A" w:rsidR="00914698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као други најбољи понуђач, након одустајања проглашеног купца, не закључи купопродајни уговор у назначеном року, или</w:t>
      </w:r>
    </w:p>
    <w:p w14:paraId="65C3426F" w14:textId="742B223D" w:rsidR="00914698" w:rsidRPr="00987676" w:rsidRDefault="00914698" w:rsidP="007C0F65">
      <w:pPr>
        <w:numPr>
          <w:ilvl w:val="0"/>
          <w:numId w:val="11"/>
        </w:numPr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као други најбољи понуђач, након одустајања проглашеног купца, не уплати купопродајну цену у назначеном року.</w:t>
      </w:r>
    </w:p>
    <w:p w14:paraId="3C750D76" w14:textId="56BCD0F8" w:rsidR="0040443F" w:rsidRPr="00987676" w:rsidRDefault="0040443F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Ако проглашени Купац</w:t>
      </w:r>
      <w:r w:rsidR="003F069E" w:rsidRPr="00987676">
        <w:rPr>
          <w:rFonts w:ascii="Times New Roman" w:hAnsi="Times New Roman"/>
          <w:sz w:val="20"/>
          <w:lang w:val="sr-Cyrl-RS"/>
        </w:rPr>
        <w:t xml:space="preserve"> не закључи</w:t>
      </w:r>
      <w:r w:rsidRPr="00987676">
        <w:rPr>
          <w:rFonts w:ascii="Times New Roman" w:hAnsi="Times New Roman"/>
          <w:sz w:val="20"/>
          <w:lang w:val="sr-Cyrl-RS"/>
        </w:rPr>
        <w:t xml:space="preserve"> купопродајни уговор или не уплати купопродајну цену у прописан</w:t>
      </w:r>
      <w:r w:rsidR="003F069E" w:rsidRPr="00987676">
        <w:rPr>
          <w:rFonts w:ascii="Times New Roman" w:hAnsi="Times New Roman"/>
          <w:sz w:val="20"/>
          <w:lang w:val="sr-Cyrl-RS"/>
        </w:rPr>
        <w:t>им</w:t>
      </w:r>
      <w:r w:rsidR="00B71C41" w:rsidRPr="00987676">
        <w:rPr>
          <w:rFonts w:ascii="Times New Roman" w:hAnsi="Times New Roman"/>
          <w:sz w:val="20"/>
          <w:lang w:val="sr-Cyrl-RS"/>
        </w:rPr>
        <w:t xml:space="preserve"> рок</w:t>
      </w:r>
      <w:r w:rsidR="003F069E" w:rsidRPr="00987676">
        <w:rPr>
          <w:rFonts w:ascii="Times New Roman" w:hAnsi="Times New Roman"/>
          <w:sz w:val="20"/>
          <w:lang w:val="sr-Cyrl-RS"/>
        </w:rPr>
        <w:t>овима</w:t>
      </w:r>
      <w:r w:rsidRPr="00987676">
        <w:rPr>
          <w:rFonts w:ascii="Times New Roman" w:hAnsi="Times New Roman"/>
          <w:sz w:val="20"/>
          <w:lang w:val="sr-Cyrl-RS"/>
        </w:rPr>
        <w:t xml:space="preserve"> и на прописан начин, као и у свим другим случајевима предвиђеним Изјавом о губитку права на враћање депозита</w:t>
      </w:r>
      <w:r w:rsidR="00B71C41" w:rsidRPr="00987676">
        <w:rPr>
          <w:rFonts w:ascii="Times New Roman" w:hAnsi="Times New Roman"/>
          <w:sz w:val="20"/>
          <w:lang w:val="sr-Cyrl-RS"/>
        </w:rPr>
        <w:t>,</w:t>
      </w:r>
      <w:r w:rsidRPr="00987676">
        <w:rPr>
          <w:rFonts w:ascii="Times New Roman" w:hAnsi="Times New Roman"/>
          <w:sz w:val="20"/>
          <w:lang w:val="sr-Cyrl-RS"/>
        </w:rPr>
        <w:t xml:space="preserve"> губи право на повраћај депозита, а за Купца се проглашава други најбољи понуђач</w:t>
      </w:r>
      <w:r w:rsidR="003F069E" w:rsidRPr="00987676">
        <w:rPr>
          <w:rFonts w:ascii="Times New Roman" w:hAnsi="Times New Roman"/>
          <w:sz w:val="20"/>
          <w:lang w:val="sr-Cyrl-RS"/>
        </w:rPr>
        <w:t xml:space="preserve"> у поступку јавног надметања</w:t>
      </w:r>
      <w:r w:rsidRPr="00987676">
        <w:rPr>
          <w:rFonts w:ascii="Times New Roman" w:hAnsi="Times New Roman"/>
          <w:sz w:val="20"/>
          <w:lang w:val="sr-Cyrl-RS"/>
        </w:rPr>
        <w:t>.</w:t>
      </w:r>
      <w:r w:rsidR="003F069E" w:rsidRPr="00987676">
        <w:rPr>
          <w:rFonts w:ascii="Times New Roman" w:hAnsi="Times New Roman"/>
          <w:sz w:val="20"/>
          <w:lang w:val="sr-Cyrl-RS"/>
        </w:rPr>
        <w:t xml:space="preserve"> </w:t>
      </w:r>
    </w:p>
    <w:p w14:paraId="6D6621AC" w14:textId="4E64A950" w:rsidR="0040443F" w:rsidRPr="00987676" w:rsidRDefault="0040443F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B71C41" w:rsidRPr="00987676">
        <w:rPr>
          <w:rFonts w:ascii="Times New Roman" w:hAnsi="Times New Roman"/>
          <w:sz w:val="20"/>
          <w:lang w:val="sr-Cyrl-RS"/>
        </w:rPr>
        <w:t>К</w:t>
      </w:r>
      <w:r w:rsidRPr="00987676">
        <w:rPr>
          <w:rFonts w:ascii="Times New Roman" w:hAnsi="Times New Roman"/>
          <w:sz w:val="20"/>
          <w:lang w:val="sr-Cyrl-RS"/>
        </w:rPr>
        <w:t>упца. Стечајни управник и стечајн</w:t>
      </w:r>
      <w:r w:rsidR="00914698" w:rsidRPr="00987676">
        <w:rPr>
          <w:rFonts w:ascii="Times New Roman" w:hAnsi="Times New Roman"/>
          <w:sz w:val="20"/>
          <w:lang w:val="sr-Cyrl-RS"/>
        </w:rPr>
        <w:t>и</w:t>
      </w:r>
      <w:r w:rsidRPr="00987676">
        <w:rPr>
          <w:rFonts w:ascii="Times New Roman" w:hAnsi="Times New Roman"/>
          <w:sz w:val="20"/>
          <w:lang w:val="sr-Cyrl-RS"/>
        </w:rPr>
        <w:t xml:space="preserve"> </w:t>
      </w:r>
      <w:r w:rsidR="00914698" w:rsidRPr="00987676">
        <w:rPr>
          <w:rFonts w:ascii="Times New Roman" w:hAnsi="Times New Roman"/>
          <w:sz w:val="20"/>
          <w:lang w:val="sr-Cyrl-RS"/>
        </w:rPr>
        <w:t>дужник</w:t>
      </w:r>
      <w:r w:rsidRPr="00987676">
        <w:rPr>
          <w:rFonts w:ascii="Times New Roman" w:hAnsi="Times New Roman"/>
          <w:sz w:val="20"/>
          <w:lang w:val="sr-Cyrl-RS"/>
        </w:rPr>
        <w:t xml:space="preserve"> не гарантују да имовина која се продаје има одређене карактеристике 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B71C41" w:rsidRPr="00987676">
        <w:rPr>
          <w:rFonts w:ascii="Times New Roman" w:hAnsi="Times New Roman"/>
          <w:sz w:val="20"/>
          <w:lang w:val="sr-Cyrl-RS"/>
        </w:rPr>
        <w:t>К</w:t>
      </w:r>
      <w:r w:rsidRPr="00987676">
        <w:rPr>
          <w:rFonts w:ascii="Times New Roman" w:hAnsi="Times New Roman"/>
          <w:sz w:val="20"/>
          <w:lang w:val="sr-Cyrl-RS"/>
        </w:rPr>
        <w:t>упац утврди по извршеној продаји.</w:t>
      </w:r>
    </w:p>
    <w:p w14:paraId="3BD664CC" w14:textId="54EC9924" w:rsidR="00E06429" w:rsidRPr="00987676" w:rsidRDefault="00E06429" w:rsidP="007C0F65">
      <w:pPr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sz w:val="20"/>
          <w:lang w:val="sr-Cyrl-RS"/>
        </w:rPr>
        <w:t>У случају да на јавном надметању победи Купац</w:t>
      </w:r>
      <w:r w:rsidR="00B71C41" w:rsidRPr="00987676">
        <w:rPr>
          <w:rFonts w:ascii="Times New Roman" w:hAnsi="Times New Roman"/>
          <w:sz w:val="20"/>
          <w:lang w:val="sr-Cyrl-RS"/>
        </w:rPr>
        <w:t>,</w:t>
      </w:r>
      <w:r w:rsidRPr="00987676">
        <w:rPr>
          <w:rFonts w:ascii="Times New Roman" w:hAnsi="Times New Roman"/>
          <w:sz w:val="20"/>
          <w:lang w:val="sr-Cyrl-RS"/>
        </w:rPr>
        <w:t xml:space="preserve"> који је депозит обезбедио банкарском гаранцијом, исти мора уплатити износ депозита на рачун стеча</w:t>
      </w:r>
      <w:r w:rsidR="009F360F" w:rsidRPr="00987676">
        <w:rPr>
          <w:rFonts w:ascii="Times New Roman" w:hAnsi="Times New Roman"/>
          <w:sz w:val="20"/>
          <w:lang w:val="sr-Cyrl-RS"/>
        </w:rPr>
        <w:t>јног дужника</w:t>
      </w:r>
      <w:r w:rsidRPr="00987676">
        <w:rPr>
          <w:rFonts w:ascii="Times New Roman" w:hAnsi="Times New Roman"/>
          <w:sz w:val="20"/>
          <w:lang w:val="sr-Cyrl-RS"/>
        </w:rPr>
        <w:t xml:space="preserve"> у року од </w:t>
      </w:r>
      <w:r w:rsidRPr="00987676">
        <w:rPr>
          <w:rFonts w:ascii="Times New Roman" w:hAnsi="Times New Roman"/>
          <w:bCs/>
          <w:sz w:val="20"/>
          <w:lang w:val="sr-Cyrl-RS"/>
        </w:rPr>
        <w:t>2 радна дана</w:t>
      </w:r>
      <w:r w:rsidRPr="00987676">
        <w:rPr>
          <w:rFonts w:ascii="Times New Roman" w:hAnsi="Times New Roman"/>
          <w:sz w:val="20"/>
          <w:lang w:val="sr-Cyrl-RS"/>
        </w:rPr>
        <w:t xml:space="preserve"> од дана јавног надемтања, односно проглашења </w:t>
      </w:r>
      <w:r w:rsidR="00B71C41" w:rsidRPr="00987676">
        <w:rPr>
          <w:rFonts w:ascii="Times New Roman" w:hAnsi="Times New Roman"/>
          <w:sz w:val="20"/>
          <w:lang w:val="sr-Cyrl-RS"/>
        </w:rPr>
        <w:t>К</w:t>
      </w:r>
      <w:r w:rsidRPr="00987676">
        <w:rPr>
          <w:rFonts w:ascii="Times New Roman" w:hAnsi="Times New Roman"/>
          <w:sz w:val="20"/>
          <w:lang w:val="sr-Cyrl-RS"/>
        </w:rPr>
        <w:t>упца а пре закључења купопродајног уговора, након чега ће му бити враћена гаранција, у супротном гаранција ће бити протествована код банке Купца.</w:t>
      </w:r>
    </w:p>
    <w:p w14:paraId="3B90E66E" w14:textId="09CDE1ED" w:rsidR="008F459C" w:rsidRPr="00987676" w:rsidRDefault="00B6651E" w:rsidP="007C0F65">
      <w:pPr>
        <w:spacing w:before="120"/>
        <w:jc w:val="both"/>
        <w:rPr>
          <w:rFonts w:ascii="Times New Roman" w:hAnsi="Times New Roman"/>
          <w:color w:val="000000"/>
          <w:sz w:val="20"/>
          <w:lang w:val="sr-Cyrl-RS"/>
        </w:rPr>
      </w:pPr>
      <w:r w:rsidRPr="00987676">
        <w:rPr>
          <w:rFonts w:ascii="Times New Roman" w:hAnsi="Times New Roman"/>
          <w:color w:val="000000"/>
          <w:sz w:val="20"/>
          <w:lang w:val="sr-Cyrl-RS"/>
        </w:rPr>
        <w:t>Стечајни управник ће вратити депозит свим учесницима јавног надметања</w:t>
      </w:r>
      <w:r w:rsidR="005A25CB" w:rsidRPr="00987676">
        <w:rPr>
          <w:rFonts w:ascii="Times New Roman" w:hAnsi="Times New Roman"/>
          <w:color w:val="000000"/>
          <w:sz w:val="20"/>
          <w:lang w:val="sr-Cyrl-RS"/>
        </w:rPr>
        <w:t>,</w:t>
      </w:r>
      <w:r w:rsidRPr="00987676">
        <w:rPr>
          <w:rFonts w:ascii="Times New Roman" w:hAnsi="Times New Roman"/>
          <w:color w:val="000000"/>
          <w:sz w:val="20"/>
          <w:lang w:val="sr-Cyrl-RS"/>
        </w:rPr>
        <w:t xml:space="preserve"> осим проглашеном </w:t>
      </w:r>
      <w:r w:rsidR="005A25CB" w:rsidRPr="00987676">
        <w:rPr>
          <w:rFonts w:ascii="Times New Roman" w:hAnsi="Times New Roman"/>
          <w:color w:val="000000"/>
          <w:sz w:val="20"/>
          <w:lang w:val="sr-Cyrl-RS"/>
        </w:rPr>
        <w:t>К</w:t>
      </w:r>
      <w:r w:rsidRPr="00987676">
        <w:rPr>
          <w:rFonts w:ascii="Times New Roman" w:hAnsi="Times New Roman"/>
          <w:color w:val="000000"/>
          <w:sz w:val="20"/>
          <w:lang w:val="sr-Cyrl-RS"/>
        </w:rPr>
        <w:t>упцу и другом најбољем понуђачу у року од осам дана од дана завршетка јавног надметања.</w:t>
      </w:r>
      <w:r w:rsidR="008F459C" w:rsidRPr="00987676">
        <w:rPr>
          <w:rFonts w:ascii="Times New Roman" w:hAnsi="Times New Roman"/>
          <w:color w:val="000000"/>
          <w:sz w:val="20"/>
          <w:lang w:val="sr-Cyrl-RS"/>
        </w:rPr>
        <w:t xml:space="preserve"> Депозит се не враћа учесницима који су изгубили право на повраћај депозита у складу са Изјавом о губитку права на повраћај депозита. </w:t>
      </w:r>
    </w:p>
    <w:p w14:paraId="391F4649" w14:textId="77777777" w:rsidR="00C44AB4" w:rsidRPr="00987676" w:rsidRDefault="00C44AB4" w:rsidP="007C0F65">
      <w:pPr>
        <w:spacing w:before="120"/>
        <w:jc w:val="both"/>
        <w:rPr>
          <w:rFonts w:ascii="Times New Roman" w:hAnsi="Times New Roman"/>
          <w:bCs/>
          <w:sz w:val="20"/>
          <w:lang w:val="sr-Cyrl-RS"/>
        </w:rPr>
      </w:pPr>
      <w:r w:rsidRPr="00987676">
        <w:rPr>
          <w:rFonts w:ascii="Times New Roman" w:hAnsi="Times New Roman"/>
          <w:bCs/>
          <w:sz w:val="20"/>
          <w:lang w:val="sr-Cyrl-RS"/>
        </w:rPr>
        <w:t>Порези и трошкови се додају на постигнуту купопродајну цену и падају на терет Купца.</w:t>
      </w:r>
    </w:p>
    <w:p w14:paraId="1E8F70FE" w14:textId="10EBE1E8" w:rsidR="00D116EC" w:rsidRPr="00987676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0"/>
          <w:lang w:val="sr-Cyrl-RS"/>
        </w:rPr>
      </w:pPr>
      <w:r w:rsidRPr="00987676">
        <w:rPr>
          <w:rFonts w:ascii="Times New Roman" w:hAnsi="Times New Roman"/>
          <w:b/>
          <w:sz w:val="20"/>
          <w:lang w:val="sr-Cyrl-RS"/>
        </w:rPr>
        <w:t>Овлашћено лице:</w:t>
      </w:r>
      <w:r w:rsidRPr="00987676">
        <w:rPr>
          <w:rFonts w:ascii="Times New Roman" w:hAnsi="Times New Roman"/>
          <w:sz w:val="20"/>
          <w:lang w:val="sr-Cyrl-RS"/>
        </w:rPr>
        <w:t xml:space="preserve"> стечајни управник </w:t>
      </w:r>
      <w:r w:rsidR="005A3879" w:rsidRPr="00987676">
        <w:rPr>
          <w:rFonts w:ascii="Times New Roman" w:hAnsi="Times New Roman"/>
          <w:sz w:val="20"/>
          <w:lang w:val="sr-Cyrl-RS"/>
        </w:rPr>
        <w:t>Зоран Каличанин</w:t>
      </w:r>
      <w:r w:rsidRPr="00987676">
        <w:rPr>
          <w:rFonts w:ascii="Times New Roman" w:hAnsi="Times New Roman"/>
          <w:sz w:val="20"/>
          <w:lang w:val="sr-Cyrl-RS"/>
        </w:rPr>
        <w:t xml:space="preserve">, контакт </w:t>
      </w:r>
      <w:r w:rsidR="008E2842" w:rsidRPr="00987676">
        <w:rPr>
          <w:rFonts w:ascii="Times New Roman" w:hAnsi="Times New Roman"/>
          <w:sz w:val="20"/>
          <w:lang w:val="sr-Cyrl-RS"/>
        </w:rPr>
        <w:t xml:space="preserve"> </w:t>
      </w:r>
      <w:r w:rsidRPr="00987676">
        <w:rPr>
          <w:rFonts w:ascii="Times New Roman" w:hAnsi="Times New Roman"/>
          <w:sz w:val="20"/>
          <w:lang w:val="sr-Cyrl-RS"/>
        </w:rPr>
        <w:t>тел</w:t>
      </w:r>
      <w:r w:rsidR="008E2842" w:rsidRPr="00987676">
        <w:rPr>
          <w:rFonts w:ascii="Times New Roman" w:hAnsi="Times New Roman"/>
          <w:sz w:val="20"/>
          <w:lang w:val="sr-Cyrl-RS"/>
        </w:rPr>
        <w:t>.</w:t>
      </w:r>
      <w:r w:rsidRPr="00987676">
        <w:rPr>
          <w:rFonts w:ascii="Times New Roman" w:hAnsi="Times New Roman"/>
          <w:sz w:val="20"/>
          <w:lang w:val="sr-Cyrl-RS"/>
        </w:rPr>
        <w:t xml:space="preserve"> </w:t>
      </w:r>
      <w:r w:rsidR="00D51D8F" w:rsidRPr="00987676">
        <w:rPr>
          <w:rFonts w:ascii="Times New Roman" w:hAnsi="Times New Roman"/>
          <w:sz w:val="20"/>
          <w:lang w:val="sr-Cyrl-RS"/>
        </w:rPr>
        <w:t xml:space="preserve">+381 </w:t>
      </w:r>
      <w:r w:rsidR="00D96651" w:rsidRPr="00987676">
        <w:rPr>
          <w:rFonts w:ascii="Times New Roman" w:hAnsi="Times New Roman"/>
          <w:sz w:val="20"/>
          <w:lang w:val="sr-Cyrl-RS"/>
        </w:rPr>
        <w:t xml:space="preserve">11 </w:t>
      </w:r>
      <w:r w:rsidR="00105EAB" w:rsidRPr="00987676">
        <w:rPr>
          <w:rFonts w:ascii="Times New Roman" w:hAnsi="Times New Roman"/>
          <w:sz w:val="20"/>
          <w:lang w:val="sr-Cyrl-RS"/>
        </w:rPr>
        <w:t xml:space="preserve">398 </w:t>
      </w:r>
      <w:r w:rsidR="003F069E" w:rsidRPr="00987676">
        <w:rPr>
          <w:rFonts w:ascii="Times New Roman" w:hAnsi="Times New Roman"/>
          <w:sz w:val="20"/>
          <w:lang w:val="sr-Cyrl-RS"/>
        </w:rPr>
        <w:t>8</w:t>
      </w:r>
      <w:r w:rsidR="00105EAB" w:rsidRPr="00987676">
        <w:rPr>
          <w:rFonts w:ascii="Times New Roman" w:hAnsi="Times New Roman"/>
          <w:sz w:val="20"/>
          <w:lang w:val="sr-Cyrl-RS"/>
        </w:rPr>
        <w:t>4 18</w:t>
      </w:r>
      <w:r w:rsidRPr="00987676">
        <w:rPr>
          <w:rFonts w:ascii="Times New Roman" w:hAnsi="Times New Roman"/>
          <w:sz w:val="20"/>
          <w:lang w:val="sr-Cyrl-RS"/>
        </w:rPr>
        <w:t xml:space="preserve">.  </w:t>
      </w:r>
    </w:p>
    <w:sectPr w:rsidR="00D116EC" w:rsidRPr="00987676" w:rsidSect="00491EBD">
      <w:pgSz w:w="12240" w:h="15840"/>
      <w:pgMar w:top="851" w:right="90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128A8"/>
    <w:rsid w:val="00017CF7"/>
    <w:rsid w:val="0004787B"/>
    <w:rsid w:val="00050BAC"/>
    <w:rsid w:val="000529CB"/>
    <w:rsid w:val="00055C3B"/>
    <w:rsid w:val="000706DE"/>
    <w:rsid w:val="0007077F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73AA"/>
    <w:rsid w:val="000D1AEF"/>
    <w:rsid w:val="000D4671"/>
    <w:rsid w:val="000E0FBB"/>
    <w:rsid w:val="000E6271"/>
    <w:rsid w:val="000F1CF7"/>
    <w:rsid w:val="00100900"/>
    <w:rsid w:val="00105EAB"/>
    <w:rsid w:val="00110536"/>
    <w:rsid w:val="00116A91"/>
    <w:rsid w:val="00121A71"/>
    <w:rsid w:val="00127B1A"/>
    <w:rsid w:val="00130934"/>
    <w:rsid w:val="00134473"/>
    <w:rsid w:val="00134F3C"/>
    <w:rsid w:val="0013566C"/>
    <w:rsid w:val="0014110B"/>
    <w:rsid w:val="001502AC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BA2"/>
    <w:rsid w:val="001D4017"/>
    <w:rsid w:val="001D6F67"/>
    <w:rsid w:val="001F27F7"/>
    <w:rsid w:val="002105A8"/>
    <w:rsid w:val="00212CF4"/>
    <w:rsid w:val="002140FA"/>
    <w:rsid w:val="002172E4"/>
    <w:rsid w:val="00217751"/>
    <w:rsid w:val="002246A6"/>
    <w:rsid w:val="00224DDB"/>
    <w:rsid w:val="00227A38"/>
    <w:rsid w:val="00230485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826F0"/>
    <w:rsid w:val="002920D2"/>
    <w:rsid w:val="00294748"/>
    <w:rsid w:val="002B2231"/>
    <w:rsid w:val="002D255B"/>
    <w:rsid w:val="002E7903"/>
    <w:rsid w:val="002E7E7B"/>
    <w:rsid w:val="002F1468"/>
    <w:rsid w:val="0032512B"/>
    <w:rsid w:val="0033151A"/>
    <w:rsid w:val="00336FB4"/>
    <w:rsid w:val="00361E83"/>
    <w:rsid w:val="0036264A"/>
    <w:rsid w:val="00367FA0"/>
    <w:rsid w:val="00373F43"/>
    <w:rsid w:val="00375DB4"/>
    <w:rsid w:val="003808E1"/>
    <w:rsid w:val="00383B5A"/>
    <w:rsid w:val="003903B6"/>
    <w:rsid w:val="003A45B5"/>
    <w:rsid w:val="003A4DB7"/>
    <w:rsid w:val="003C5FB1"/>
    <w:rsid w:val="003D1E05"/>
    <w:rsid w:val="003F069E"/>
    <w:rsid w:val="0040443F"/>
    <w:rsid w:val="00424885"/>
    <w:rsid w:val="00425B52"/>
    <w:rsid w:val="00434E5A"/>
    <w:rsid w:val="004418C2"/>
    <w:rsid w:val="00442D0F"/>
    <w:rsid w:val="00442F19"/>
    <w:rsid w:val="00446D5D"/>
    <w:rsid w:val="00452323"/>
    <w:rsid w:val="00454E3D"/>
    <w:rsid w:val="00457063"/>
    <w:rsid w:val="00460DC9"/>
    <w:rsid w:val="00470B8B"/>
    <w:rsid w:val="00481DFF"/>
    <w:rsid w:val="00490FCC"/>
    <w:rsid w:val="00491EBD"/>
    <w:rsid w:val="004975E8"/>
    <w:rsid w:val="004D1237"/>
    <w:rsid w:val="004D13B0"/>
    <w:rsid w:val="004E5E4C"/>
    <w:rsid w:val="004F39D3"/>
    <w:rsid w:val="004F7EC4"/>
    <w:rsid w:val="005110BD"/>
    <w:rsid w:val="00545155"/>
    <w:rsid w:val="005624DC"/>
    <w:rsid w:val="005649F7"/>
    <w:rsid w:val="0057212A"/>
    <w:rsid w:val="0058176A"/>
    <w:rsid w:val="00583271"/>
    <w:rsid w:val="005853DF"/>
    <w:rsid w:val="005A25CB"/>
    <w:rsid w:val="005A3879"/>
    <w:rsid w:val="005B2FB0"/>
    <w:rsid w:val="005D2AED"/>
    <w:rsid w:val="005D3EA5"/>
    <w:rsid w:val="00610ADE"/>
    <w:rsid w:val="00615247"/>
    <w:rsid w:val="0061585A"/>
    <w:rsid w:val="00615D94"/>
    <w:rsid w:val="0061720B"/>
    <w:rsid w:val="00621401"/>
    <w:rsid w:val="0063693E"/>
    <w:rsid w:val="00637B86"/>
    <w:rsid w:val="00641582"/>
    <w:rsid w:val="00643670"/>
    <w:rsid w:val="0064556A"/>
    <w:rsid w:val="0065222E"/>
    <w:rsid w:val="00661C04"/>
    <w:rsid w:val="00672CD0"/>
    <w:rsid w:val="00676184"/>
    <w:rsid w:val="0068760A"/>
    <w:rsid w:val="00694961"/>
    <w:rsid w:val="0069512F"/>
    <w:rsid w:val="006C044A"/>
    <w:rsid w:val="006C548E"/>
    <w:rsid w:val="006D322A"/>
    <w:rsid w:val="006E65DF"/>
    <w:rsid w:val="006F46ED"/>
    <w:rsid w:val="00707B14"/>
    <w:rsid w:val="0071310F"/>
    <w:rsid w:val="00713153"/>
    <w:rsid w:val="007143A7"/>
    <w:rsid w:val="00723860"/>
    <w:rsid w:val="00726AAB"/>
    <w:rsid w:val="007565A4"/>
    <w:rsid w:val="0077024D"/>
    <w:rsid w:val="0078072E"/>
    <w:rsid w:val="007A6D1F"/>
    <w:rsid w:val="007C0F65"/>
    <w:rsid w:val="007C6B64"/>
    <w:rsid w:val="007D0641"/>
    <w:rsid w:val="007D40C5"/>
    <w:rsid w:val="007D7928"/>
    <w:rsid w:val="007E2AE0"/>
    <w:rsid w:val="007F262C"/>
    <w:rsid w:val="0080085E"/>
    <w:rsid w:val="008105A1"/>
    <w:rsid w:val="008273BD"/>
    <w:rsid w:val="00832DB6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C12AA"/>
    <w:rsid w:val="008C744A"/>
    <w:rsid w:val="008D09DE"/>
    <w:rsid w:val="008D0DDB"/>
    <w:rsid w:val="008D2164"/>
    <w:rsid w:val="008D2CEF"/>
    <w:rsid w:val="008D3F28"/>
    <w:rsid w:val="008E19F4"/>
    <w:rsid w:val="008E2842"/>
    <w:rsid w:val="008F3913"/>
    <w:rsid w:val="008F459C"/>
    <w:rsid w:val="00911AB6"/>
    <w:rsid w:val="00914698"/>
    <w:rsid w:val="009304ED"/>
    <w:rsid w:val="009377BD"/>
    <w:rsid w:val="00954B8D"/>
    <w:rsid w:val="00955252"/>
    <w:rsid w:val="009556D6"/>
    <w:rsid w:val="009826B1"/>
    <w:rsid w:val="00984217"/>
    <w:rsid w:val="009862AF"/>
    <w:rsid w:val="00987676"/>
    <w:rsid w:val="0099019D"/>
    <w:rsid w:val="00991164"/>
    <w:rsid w:val="00993EB5"/>
    <w:rsid w:val="009B2B4A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A5B"/>
    <w:rsid w:val="00A5380C"/>
    <w:rsid w:val="00A61D54"/>
    <w:rsid w:val="00A629B4"/>
    <w:rsid w:val="00A65FE2"/>
    <w:rsid w:val="00A67755"/>
    <w:rsid w:val="00A828E9"/>
    <w:rsid w:val="00A8787D"/>
    <w:rsid w:val="00A939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0FCB"/>
    <w:rsid w:val="00B07AF0"/>
    <w:rsid w:val="00B07CF1"/>
    <w:rsid w:val="00B10597"/>
    <w:rsid w:val="00B141ED"/>
    <w:rsid w:val="00B1699B"/>
    <w:rsid w:val="00B43114"/>
    <w:rsid w:val="00B54A6A"/>
    <w:rsid w:val="00B563DF"/>
    <w:rsid w:val="00B6651E"/>
    <w:rsid w:val="00B7161A"/>
    <w:rsid w:val="00B71C41"/>
    <w:rsid w:val="00B80363"/>
    <w:rsid w:val="00B821EF"/>
    <w:rsid w:val="00B850D2"/>
    <w:rsid w:val="00B86164"/>
    <w:rsid w:val="00B93989"/>
    <w:rsid w:val="00B94D1B"/>
    <w:rsid w:val="00B9796F"/>
    <w:rsid w:val="00BB21A2"/>
    <w:rsid w:val="00BC7901"/>
    <w:rsid w:val="00BD34A9"/>
    <w:rsid w:val="00BD3843"/>
    <w:rsid w:val="00BE27F3"/>
    <w:rsid w:val="00BF22F6"/>
    <w:rsid w:val="00C14B16"/>
    <w:rsid w:val="00C21F1D"/>
    <w:rsid w:val="00C3682D"/>
    <w:rsid w:val="00C449DD"/>
    <w:rsid w:val="00C44AB4"/>
    <w:rsid w:val="00C45C09"/>
    <w:rsid w:val="00C4660B"/>
    <w:rsid w:val="00C679ED"/>
    <w:rsid w:val="00C76146"/>
    <w:rsid w:val="00C908D3"/>
    <w:rsid w:val="00C95F28"/>
    <w:rsid w:val="00CA147E"/>
    <w:rsid w:val="00CA2F81"/>
    <w:rsid w:val="00CB494B"/>
    <w:rsid w:val="00CB7D87"/>
    <w:rsid w:val="00CC067E"/>
    <w:rsid w:val="00CC2FF6"/>
    <w:rsid w:val="00CD3EB0"/>
    <w:rsid w:val="00CD55B6"/>
    <w:rsid w:val="00CD6741"/>
    <w:rsid w:val="00D035CC"/>
    <w:rsid w:val="00D05C1E"/>
    <w:rsid w:val="00D116EC"/>
    <w:rsid w:val="00D1190B"/>
    <w:rsid w:val="00D1610B"/>
    <w:rsid w:val="00D22D75"/>
    <w:rsid w:val="00D2534E"/>
    <w:rsid w:val="00D27148"/>
    <w:rsid w:val="00D35455"/>
    <w:rsid w:val="00D47EA5"/>
    <w:rsid w:val="00D51D8F"/>
    <w:rsid w:val="00D54C15"/>
    <w:rsid w:val="00D600D6"/>
    <w:rsid w:val="00D6430D"/>
    <w:rsid w:val="00D647F8"/>
    <w:rsid w:val="00D72D1D"/>
    <w:rsid w:val="00D81E75"/>
    <w:rsid w:val="00D82A9D"/>
    <w:rsid w:val="00D9164C"/>
    <w:rsid w:val="00D96651"/>
    <w:rsid w:val="00DA3EC3"/>
    <w:rsid w:val="00DA4251"/>
    <w:rsid w:val="00DA5328"/>
    <w:rsid w:val="00DA7B13"/>
    <w:rsid w:val="00DB04E1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50A79"/>
    <w:rsid w:val="00E60E57"/>
    <w:rsid w:val="00E7310C"/>
    <w:rsid w:val="00E74E35"/>
    <w:rsid w:val="00E7593C"/>
    <w:rsid w:val="00E84072"/>
    <w:rsid w:val="00E851B1"/>
    <w:rsid w:val="00E902B8"/>
    <w:rsid w:val="00E90758"/>
    <w:rsid w:val="00E949D4"/>
    <w:rsid w:val="00E97179"/>
    <w:rsid w:val="00EA0067"/>
    <w:rsid w:val="00EB0F80"/>
    <w:rsid w:val="00EB53CE"/>
    <w:rsid w:val="00ED09D1"/>
    <w:rsid w:val="00EE4FD4"/>
    <w:rsid w:val="00EF286D"/>
    <w:rsid w:val="00F06782"/>
    <w:rsid w:val="00F11A9F"/>
    <w:rsid w:val="00F17DE3"/>
    <w:rsid w:val="00F37924"/>
    <w:rsid w:val="00F43224"/>
    <w:rsid w:val="00F47129"/>
    <w:rsid w:val="00F5560D"/>
    <w:rsid w:val="00F556AB"/>
    <w:rsid w:val="00F558BA"/>
    <w:rsid w:val="00F56368"/>
    <w:rsid w:val="00F60D97"/>
    <w:rsid w:val="00F670A0"/>
    <w:rsid w:val="00F73C54"/>
    <w:rsid w:val="00F75A89"/>
    <w:rsid w:val="00F857A9"/>
    <w:rsid w:val="00F9520C"/>
    <w:rsid w:val="00FA19A0"/>
    <w:rsid w:val="00FB3B7A"/>
    <w:rsid w:val="00FB61D2"/>
    <w:rsid w:val="00FC0750"/>
    <w:rsid w:val="00FE07BB"/>
    <w:rsid w:val="00FE357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4</cp:revision>
  <cp:lastPrinted>2019-02-14T16:07:00Z</cp:lastPrinted>
  <dcterms:created xsi:type="dcterms:W3CDTF">2020-08-18T13:25:00Z</dcterms:created>
  <dcterms:modified xsi:type="dcterms:W3CDTF">2020-08-20T13:17:00Z</dcterms:modified>
</cp:coreProperties>
</file>